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53" w:rsidRDefault="00DC7C53" w:rsidP="0097042E">
      <w:pPr>
        <w:rPr>
          <w:b/>
          <w:sz w:val="32"/>
          <w:szCs w:val="32"/>
          <w:lang w:val="nl-BE"/>
        </w:rPr>
      </w:pPr>
      <w:r>
        <w:rPr>
          <w:b/>
          <w:noProof/>
          <w:sz w:val="40"/>
          <w:szCs w:val="40"/>
          <w:u w:val="single"/>
          <w:lang w:val="fr-BE" w:eastAsia="fr-BE"/>
        </w:rPr>
        <w:drawing>
          <wp:anchor distT="0" distB="0" distL="114300" distR="114300" simplePos="0" relativeHeight="251659264" behindDoc="0" locked="0" layoutInCell="1" allowOverlap="1" wp14:anchorId="50A582F9" wp14:editId="789E7D18">
            <wp:simplePos x="0" y="0"/>
            <wp:positionH relativeFrom="column">
              <wp:posOffset>152400</wp:posOffset>
            </wp:positionH>
            <wp:positionV relativeFrom="paragraph">
              <wp:posOffset>284480</wp:posOffset>
            </wp:positionV>
            <wp:extent cx="1904365" cy="546735"/>
            <wp:effectExtent l="0" t="0" r="635" b="5715"/>
            <wp:wrapSquare wrapText="bothSides"/>
            <wp:docPr id="2" name="Image 2" descr="http://aefjn.org/wp-content/uploads/2016/12/header-400x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efjn.org/wp-content/uploads/2016/12/header-400x114.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4365"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42E" w:rsidRDefault="00DC7C53" w:rsidP="0097042E">
      <w:pPr>
        <w:rPr>
          <w:b/>
          <w:sz w:val="28"/>
          <w:szCs w:val="28"/>
          <w:lang w:val="nl-BE"/>
        </w:rPr>
      </w:pPr>
      <w:r>
        <w:rPr>
          <w:b/>
          <w:sz w:val="32"/>
          <w:szCs w:val="32"/>
          <w:lang w:val="nl-BE"/>
        </w:rPr>
        <w:t xml:space="preserve">    </w:t>
      </w:r>
      <w:bookmarkStart w:id="0" w:name="_GoBack"/>
      <w:r w:rsidR="0097042E">
        <w:rPr>
          <w:b/>
          <w:sz w:val="32"/>
          <w:szCs w:val="32"/>
          <w:lang w:val="nl-BE"/>
        </w:rPr>
        <w:t xml:space="preserve">Echo’s Nr. 42   </w:t>
      </w:r>
      <w:bookmarkEnd w:id="0"/>
      <w:r w:rsidR="0097042E">
        <w:rPr>
          <w:b/>
          <w:sz w:val="32"/>
          <w:szCs w:val="32"/>
          <w:lang w:val="nl-BE"/>
        </w:rPr>
        <w:t xml:space="preserve">-   </w:t>
      </w:r>
      <w:proofErr w:type="gramStart"/>
      <w:r w:rsidR="0097042E">
        <w:rPr>
          <w:b/>
          <w:sz w:val="32"/>
          <w:szCs w:val="32"/>
          <w:lang w:val="nl-BE"/>
        </w:rPr>
        <w:t>December</w:t>
      </w:r>
      <w:proofErr w:type="gramEnd"/>
      <w:r w:rsidR="0097042E">
        <w:rPr>
          <w:b/>
          <w:sz w:val="32"/>
          <w:szCs w:val="32"/>
          <w:lang w:val="nl-BE"/>
        </w:rPr>
        <w:t xml:space="preserve"> 2017</w:t>
      </w:r>
    </w:p>
    <w:p w:rsidR="0097042E" w:rsidRDefault="0097042E" w:rsidP="0097042E">
      <w:pPr>
        <w:rPr>
          <w:b/>
          <w:sz w:val="28"/>
          <w:szCs w:val="28"/>
          <w:lang w:val="nl-BE"/>
        </w:rPr>
      </w:pPr>
    </w:p>
    <w:p w:rsidR="0097042E" w:rsidRDefault="0097042E" w:rsidP="0097042E">
      <w:pPr>
        <w:rPr>
          <w:sz w:val="24"/>
          <w:szCs w:val="24"/>
          <w:lang w:val="nl-BE"/>
        </w:rPr>
      </w:pPr>
      <w:r>
        <w:rPr>
          <w:b/>
          <w:sz w:val="28"/>
          <w:szCs w:val="28"/>
          <w:lang w:val="nl-BE"/>
        </w:rPr>
        <w:t>Echo’s van de conferentie in Ivoorkust</w:t>
      </w:r>
    </w:p>
    <w:p w:rsidR="0097042E" w:rsidRDefault="0097042E" w:rsidP="0097042E">
      <w:pPr>
        <w:rPr>
          <w:sz w:val="24"/>
          <w:szCs w:val="24"/>
          <w:lang w:val="nl-BE"/>
        </w:rPr>
      </w:pPr>
      <w:r>
        <w:rPr>
          <w:sz w:val="24"/>
          <w:szCs w:val="24"/>
          <w:lang w:val="nl-BE"/>
        </w:rPr>
        <w:t xml:space="preserve">Ten gevolge van de Conferentie van Continentaal Afrika te </w:t>
      </w:r>
      <w:proofErr w:type="spellStart"/>
      <w:r>
        <w:rPr>
          <w:sz w:val="24"/>
          <w:szCs w:val="24"/>
          <w:lang w:val="nl-BE"/>
        </w:rPr>
        <w:t>Limuru</w:t>
      </w:r>
      <w:proofErr w:type="spellEnd"/>
      <w:r>
        <w:rPr>
          <w:sz w:val="24"/>
          <w:szCs w:val="24"/>
          <w:lang w:val="nl-BE"/>
        </w:rPr>
        <w:t xml:space="preserve">-Nairobi in november 2015 over de grondroof, heeft AEFJN mede een conferentie georganiseerd over de nawerking ervan voor de Franstalige Afrikaanse landen te Abidjan (Ivoorkust) van 21 tot </w:t>
      </w:r>
      <w:r>
        <w:rPr>
          <w:sz w:val="24"/>
          <w:szCs w:val="24"/>
          <w:lang w:val="nl-BE"/>
        </w:rPr>
        <w:t xml:space="preserve">23 </w:t>
      </w:r>
      <w:r>
        <w:rPr>
          <w:sz w:val="24"/>
          <w:szCs w:val="24"/>
          <w:lang w:val="nl-BE"/>
        </w:rPr>
        <w:t>november 2017. Gelijkaardige conferenties…</w:t>
      </w:r>
      <w:r>
        <w:rPr>
          <w:sz w:val="24"/>
          <w:szCs w:val="24"/>
          <w:lang w:val="nl-BE"/>
        </w:rPr>
        <w:tab/>
      </w:r>
    </w:p>
    <w:p w:rsidR="0097042E" w:rsidRDefault="0097042E" w:rsidP="0097042E">
      <w:pPr>
        <w:rPr>
          <w:sz w:val="24"/>
          <w:szCs w:val="24"/>
          <w:lang w:val="nl-BE"/>
        </w:rPr>
      </w:pPr>
      <w:hyperlink r:id="rId7" w:history="1">
        <w:r w:rsidRPr="0097042E">
          <w:rPr>
            <w:rStyle w:val="Lienhypertexte"/>
            <w:sz w:val="24"/>
            <w:szCs w:val="24"/>
            <w:lang w:val="nl-BE"/>
          </w:rPr>
          <w:t>(lees meer)</w:t>
        </w:r>
      </w:hyperlink>
    </w:p>
    <w:tbl>
      <w:tblPr>
        <w:tblW w:w="12000" w:type="dxa"/>
        <w:tblCellSpacing w:w="0" w:type="dxa"/>
        <w:tblCellMar>
          <w:left w:w="0" w:type="dxa"/>
          <w:right w:w="0" w:type="dxa"/>
        </w:tblCellMar>
        <w:tblLook w:val="04A0" w:firstRow="1" w:lastRow="0" w:firstColumn="1" w:lastColumn="0" w:noHBand="0" w:noVBand="1"/>
      </w:tblPr>
      <w:tblGrid>
        <w:gridCol w:w="12000"/>
      </w:tblGrid>
      <w:tr w:rsidR="0097042E" w:rsidTr="0097042E">
        <w:trPr>
          <w:tblCellSpacing w:w="0" w:type="dxa"/>
        </w:trPr>
        <w:tc>
          <w:tcPr>
            <w:tcW w:w="0" w:type="auto"/>
            <w:hideMark/>
          </w:tcPr>
          <w:p w:rsidR="0097042E" w:rsidRDefault="0097042E">
            <w:pPr>
              <w:spacing w:after="0" w:line="240" w:lineRule="auto"/>
              <w:rPr>
                <w:sz w:val="20"/>
                <w:szCs w:val="20"/>
                <w:lang w:val="fr-BE" w:eastAsia="fr-BE"/>
              </w:rPr>
            </w:pPr>
          </w:p>
        </w:tc>
      </w:tr>
      <w:tr w:rsidR="0097042E" w:rsidTr="0097042E">
        <w:trPr>
          <w:trHeight w:val="240"/>
          <w:tblCellSpacing w:w="0" w:type="dxa"/>
        </w:trPr>
        <w:tc>
          <w:tcPr>
            <w:tcW w:w="0" w:type="auto"/>
            <w:vAlign w:val="center"/>
            <w:hideMark/>
          </w:tcPr>
          <w:p w:rsidR="0097042E" w:rsidRDefault="0097042E">
            <w:pPr>
              <w:spacing w:after="0" w:line="240" w:lineRule="auto"/>
              <w:rPr>
                <w:sz w:val="20"/>
                <w:szCs w:val="20"/>
                <w:lang w:val="fr-BE" w:eastAsia="fr-BE"/>
              </w:rPr>
            </w:pPr>
          </w:p>
        </w:tc>
      </w:tr>
    </w:tbl>
    <w:p w:rsidR="0097042E" w:rsidRDefault="0097042E" w:rsidP="0097042E">
      <w:pPr>
        <w:spacing w:after="0" w:line="240" w:lineRule="auto"/>
        <w:rPr>
          <w:rFonts w:ascii="Times" w:eastAsia="Times New Roman" w:hAnsi="Times"/>
          <w:vanish/>
          <w:sz w:val="20"/>
          <w:szCs w:val="20"/>
          <w:lang w:val="fr-BE" w:eastAsia="fr-FR"/>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97042E" w:rsidTr="0097042E">
        <w:trPr>
          <w:trHeight w:val="240"/>
          <w:tblCellSpacing w:w="0" w:type="dxa"/>
        </w:trPr>
        <w:tc>
          <w:tcPr>
            <w:tcW w:w="0" w:type="auto"/>
            <w:vAlign w:val="center"/>
          </w:tcPr>
          <w:p w:rsidR="0097042E" w:rsidRDefault="0097042E">
            <w:pPr>
              <w:spacing w:after="0" w:line="240" w:lineRule="auto"/>
              <w:rPr>
                <w:sz w:val="20"/>
                <w:szCs w:val="20"/>
                <w:lang w:val="fr-BE" w:eastAsia="fr-BE"/>
              </w:rPr>
            </w:pPr>
          </w:p>
        </w:tc>
      </w:tr>
    </w:tbl>
    <w:p w:rsidR="0097042E" w:rsidRPr="0097042E" w:rsidRDefault="0097042E" w:rsidP="0097042E">
      <w:pPr>
        <w:rPr>
          <w:b/>
          <w:sz w:val="28"/>
          <w:szCs w:val="28"/>
          <w:lang w:val="nl-BE"/>
        </w:rPr>
      </w:pPr>
      <w:r>
        <w:rPr>
          <w:b/>
          <w:sz w:val="28"/>
          <w:szCs w:val="28"/>
          <w:lang w:val="nl-BE"/>
        </w:rPr>
        <w:t>Een markt voor glyfosaat inrichten dank aan ontwikkelingspolitiek</w:t>
      </w:r>
    </w:p>
    <w:p w:rsidR="0097042E" w:rsidRDefault="0097042E" w:rsidP="0097042E">
      <w:pPr>
        <w:rPr>
          <w:sz w:val="24"/>
          <w:szCs w:val="24"/>
          <w:lang w:val="nl-BE"/>
        </w:rPr>
      </w:pPr>
      <w:r>
        <w:rPr>
          <w:sz w:val="24"/>
          <w:szCs w:val="24"/>
          <w:lang w:val="nl-BE"/>
        </w:rPr>
        <w:t xml:space="preserve">Een van debatten die het meest te zien was in de media deze herfst in Europese kringen, ging over pesticiden op basis van glyfosaat. De Europese Commissie (EC) ondervond een zware tegenwerking vanwege het Europees Parlement (EP) wanneer zij… </w:t>
      </w:r>
      <w:r>
        <w:rPr>
          <w:sz w:val="24"/>
          <w:szCs w:val="24"/>
          <w:lang w:val="nl-BE"/>
        </w:rPr>
        <w:tab/>
      </w:r>
    </w:p>
    <w:p w:rsidR="0097042E" w:rsidRDefault="0097042E" w:rsidP="0097042E">
      <w:pPr>
        <w:rPr>
          <w:sz w:val="24"/>
          <w:szCs w:val="24"/>
          <w:lang w:val="nl-BE"/>
        </w:rPr>
      </w:pPr>
      <w:hyperlink r:id="rId8" w:history="1">
        <w:r w:rsidRPr="0097042E">
          <w:rPr>
            <w:rStyle w:val="Lienhypertexte"/>
            <w:sz w:val="24"/>
            <w:szCs w:val="24"/>
            <w:lang w:val="nl-BE"/>
          </w:rPr>
          <w:t>(lees</w:t>
        </w:r>
        <w:r>
          <w:rPr>
            <w:rStyle w:val="Lienhypertexte"/>
            <w:sz w:val="24"/>
            <w:szCs w:val="24"/>
            <w:lang w:val="nl-BE"/>
          </w:rPr>
          <w:t xml:space="preserve"> </w:t>
        </w:r>
        <w:r w:rsidRPr="0097042E">
          <w:rPr>
            <w:rStyle w:val="Lienhypertexte"/>
            <w:sz w:val="24"/>
            <w:szCs w:val="24"/>
            <w:lang w:val="nl-BE"/>
          </w:rPr>
          <w:t>meer)</w:t>
        </w:r>
      </w:hyperlink>
    </w:p>
    <w:p w:rsidR="0097042E" w:rsidRDefault="0097042E" w:rsidP="0097042E">
      <w:pPr>
        <w:spacing w:after="0" w:line="240" w:lineRule="auto"/>
        <w:rPr>
          <w:rFonts w:ascii="Times" w:eastAsia="Times New Roman" w:hAnsi="Times"/>
          <w:vanish/>
          <w:sz w:val="20"/>
          <w:szCs w:val="20"/>
          <w:lang w:val="fr-BE" w:eastAsia="fr-FR"/>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97042E" w:rsidTr="0097042E">
        <w:trPr>
          <w:trHeight w:val="240"/>
          <w:tblCellSpacing w:w="0" w:type="dxa"/>
        </w:trPr>
        <w:tc>
          <w:tcPr>
            <w:tcW w:w="0" w:type="auto"/>
            <w:vAlign w:val="center"/>
            <w:hideMark/>
          </w:tcPr>
          <w:p w:rsidR="0097042E" w:rsidRDefault="0097042E">
            <w:pPr>
              <w:spacing w:after="0" w:line="240" w:lineRule="auto"/>
              <w:rPr>
                <w:sz w:val="20"/>
                <w:szCs w:val="20"/>
                <w:lang w:val="fr-BE" w:eastAsia="fr-BE"/>
              </w:rPr>
            </w:pPr>
          </w:p>
        </w:tc>
      </w:tr>
    </w:tbl>
    <w:p w:rsidR="0097042E" w:rsidRDefault="0097042E" w:rsidP="0097042E">
      <w:pPr>
        <w:rPr>
          <w:b/>
          <w:sz w:val="24"/>
          <w:szCs w:val="24"/>
          <w:lang w:val="nl-BE"/>
        </w:rPr>
      </w:pPr>
      <w:r>
        <w:rPr>
          <w:b/>
          <w:sz w:val="28"/>
          <w:szCs w:val="28"/>
          <w:lang w:val="nl-BE"/>
        </w:rPr>
        <w:t>Het Marshall Plan en ……</w:t>
      </w:r>
      <w:proofErr w:type="gramStart"/>
      <w:r>
        <w:rPr>
          <w:b/>
          <w:sz w:val="28"/>
          <w:szCs w:val="28"/>
          <w:lang w:val="nl-BE"/>
        </w:rPr>
        <w:t xml:space="preserve">.  </w:t>
      </w:r>
      <w:proofErr w:type="gramEnd"/>
      <w:r>
        <w:rPr>
          <w:b/>
          <w:sz w:val="28"/>
          <w:szCs w:val="28"/>
          <w:lang w:val="nl-BE"/>
        </w:rPr>
        <w:t>Inhoud en kritiek</w:t>
      </w:r>
    </w:p>
    <w:p w:rsidR="0097042E" w:rsidRDefault="0097042E" w:rsidP="0097042E">
      <w:pPr>
        <w:rPr>
          <w:sz w:val="24"/>
          <w:szCs w:val="24"/>
          <w:lang w:val="nl-BE"/>
        </w:rPr>
      </w:pPr>
      <w:r>
        <w:rPr>
          <w:sz w:val="24"/>
          <w:szCs w:val="24"/>
          <w:lang w:val="nl-BE"/>
        </w:rPr>
        <w:t xml:space="preserve">De Duitse naoorlogse politiek heeft nooit grote interesse </w:t>
      </w:r>
      <w:r>
        <w:rPr>
          <w:sz w:val="24"/>
          <w:szCs w:val="24"/>
          <w:lang w:val="nl-BE"/>
        </w:rPr>
        <w:t>vertoond</w:t>
      </w:r>
      <w:r>
        <w:rPr>
          <w:sz w:val="24"/>
          <w:szCs w:val="24"/>
          <w:lang w:val="nl-BE"/>
        </w:rPr>
        <w:t xml:space="preserve"> voor Afrika. Men liet dit graag over aan de Engelsen en de Fransen die heel wat relaties behielden met hun vroegere </w:t>
      </w:r>
      <w:r>
        <w:rPr>
          <w:sz w:val="24"/>
          <w:szCs w:val="24"/>
          <w:lang w:val="nl-BE"/>
        </w:rPr>
        <w:t xml:space="preserve">kolonies. </w:t>
      </w:r>
      <w:r>
        <w:rPr>
          <w:sz w:val="24"/>
          <w:szCs w:val="24"/>
          <w:lang w:val="nl-BE"/>
        </w:rPr>
        <w:t xml:space="preserve">Horst </w:t>
      </w:r>
      <w:proofErr w:type="spellStart"/>
      <w:r>
        <w:rPr>
          <w:sz w:val="24"/>
          <w:szCs w:val="24"/>
          <w:lang w:val="nl-BE"/>
        </w:rPr>
        <w:t>Köhler</w:t>
      </w:r>
      <w:proofErr w:type="spellEnd"/>
      <w:r>
        <w:rPr>
          <w:sz w:val="24"/>
          <w:szCs w:val="24"/>
          <w:lang w:val="nl-BE"/>
        </w:rPr>
        <w:t xml:space="preserve"> was een </w:t>
      </w:r>
      <w:r>
        <w:rPr>
          <w:sz w:val="24"/>
          <w:szCs w:val="24"/>
          <w:lang w:val="nl-BE"/>
        </w:rPr>
        <w:t>uitzondering;</w:t>
      </w:r>
      <w:r>
        <w:rPr>
          <w:sz w:val="24"/>
          <w:szCs w:val="24"/>
          <w:lang w:val="nl-BE"/>
        </w:rPr>
        <w:t xml:space="preserve"> als Bondspresident ondernam hij talrijke reizen naar Afrika, en…</w:t>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p>
    <w:p w:rsidR="0097042E" w:rsidRDefault="0097042E" w:rsidP="0097042E">
      <w:pPr>
        <w:rPr>
          <w:sz w:val="24"/>
          <w:szCs w:val="24"/>
          <w:lang w:val="nl-BE"/>
        </w:rPr>
      </w:pPr>
      <w:hyperlink r:id="rId9" w:history="1">
        <w:r w:rsidRPr="0097042E">
          <w:rPr>
            <w:rStyle w:val="Lienhypertexte"/>
            <w:sz w:val="24"/>
            <w:szCs w:val="24"/>
            <w:lang w:val="nl-BE"/>
          </w:rPr>
          <w:t>(lees meer)</w:t>
        </w:r>
      </w:hyperlink>
    </w:p>
    <w:tbl>
      <w:tblPr>
        <w:tblW w:w="12000" w:type="dxa"/>
        <w:tblCellSpacing w:w="0" w:type="dxa"/>
        <w:tblCellMar>
          <w:left w:w="0" w:type="dxa"/>
          <w:right w:w="0" w:type="dxa"/>
        </w:tblCellMar>
        <w:tblLook w:val="04A0" w:firstRow="1" w:lastRow="0" w:firstColumn="1" w:lastColumn="0" w:noHBand="0" w:noVBand="1"/>
      </w:tblPr>
      <w:tblGrid>
        <w:gridCol w:w="12000"/>
      </w:tblGrid>
      <w:tr w:rsidR="0097042E" w:rsidTr="0097042E">
        <w:trPr>
          <w:trHeight w:val="240"/>
          <w:tblCellSpacing w:w="0" w:type="dxa"/>
        </w:trPr>
        <w:tc>
          <w:tcPr>
            <w:tcW w:w="0" w:type="auto"/>
            <w:vAlign w:val="center"/>
            <w:hideMark/>
          </w:tcPr>
          <w:p w:rsidR="0097042E" w:rsidRDefault="0097042E">
            <w:pPr>
              <w:spacing w:after="0" w:line="240" w:lineRule="auto"/>
              <w:rPr>
                <w:sz w:val="20"/>
                <w:szCs w:val="20"/>
                <w:lang w:val="fr-BE" w:eastAsia="fr-BE"/>
              </w:rPr>
            </w:pPr>
          </w:p>
        </w:tc>
      </w:tr>
    </w:tbl>
    <w:p w:rsidR="0097042E" w:rsidRDefault="0097042E" w:rsidP="0097042E">
      <w:pPr>
        <w:rPr>
          <w:b/>
          <w:sz w:val="24"/>
          <w:szCs w:val="24"/>
          <w:lang w:val="nl-BE"/>
        </w:rPr>
      </w:pPr>
      <w:r>
        <w:rPr>
          <w:b/>
          <w:sz w:val="28"/>
          <w:szCs w:val="28"/>
          <w:lang w:val="nl-BE"/>
        </w:rPr>
        <w:t>Midden een lange en kronkelende weg</w:t>
      </w:r>
    </w:p>
    <w:p w:rsidR="0097042E" w:rsidRDefault="0097042E" w:rsidP="0097042E">
      <w:pPr>
        <w:rPr>
          <w:sz w:val="24"/>
          <w:szCs w:val="24"/>
          <w:lang w:val="nl-BE"/>
        </w:rPr>
      </w:pPr>
      <w:r>
        <w:rPr>
          <w:sz w:val="24"/>
          <w:szCs w:val="24"/>
          <w:lang w:val="nl-BE"/>
        </w:rPr>
        <w:t xml:space="preserve">Ik neem deze woorden van het bekende lied van de Beatles voor een kijkje op het proces in de Verenigde Naties naar een verplichtend verdrag </w:t>
      </w:r>
      <w:proofErr w:type="gramStart"/>
      <w:r>
        <w:rPr>
          <w:sz w:val="24"/>
          <w:szCs w:val="24"/>
          <w:lang w:val="nl-BE"/>
        </w:rPr>
        <w:t>inzake</w:t>
      </w:r>
      <w:proofErr w:type="gramEnd"/>
      <w:r>
        <w:rPr>
          <w:sz w:val="24"/>
          <w:szCs w:val="24"/>
          <w:lang w:val="nl-BE"/>
        </w:rPr>
        <w:t xml:space="preserve"> handel en mensenrechten. Op 27 oktober 2017 heeft de derde sessie van de intergouvernementele werkgroep over de transnationale maatschappijen… </w:t>
      </w:r>
      <w:r>
        <w:rPr>
          <w:sz w:val="24"/>
          <w:szCs w:val="24"/>
          <w:lang w:val="nl-BE"/>
        </w:rPr>
        <w:tab/>
      </w:r>
      <w:r>
        <w:rPr>
          <w:sz w:val="24"/>
          <w:szCs w:val="24"/>
          <w:lang w:val="nl-BE"/>
        </w:rPr>
        <w:tab/>
      </w:r>
      <w:r>
        <w:rPr>
          <w:sz w:val="24"/>
          <w:szCs w:val="24"/>
          <w:lang w:val="nl-BE"/>
        </w:rPr>
        <w:tab/>
      </w:r>
      <w:r>
        <w:rPr>
          <w:sz w:val="24"/>
          <w:szCs w:val="24"/>
          <w:lang w:val="nl-BE"/>
        </w:rPr>
        <w:tab/>
      </w:r>
    </w:p>
    <w:p w:rsidR="0097042E" w:rsidRDefault="00DC7C53" w:rsidP="0097042E">
      <w:pPr>
        <w:rPr>
          <w:sz w:val="24"/>
          <w:szCs w:val="24"/>
          <w:lang w:val="nl-BE"/>
        </w:rPr>
      </w:pPr>
      <w:hyperlink r:id="rId10" w:history="1">
        <w:r w:rsidR="0097042E" w:rsidRPr="00DC7C53">
          <w:rPr>
            <w:rStyle w:val="Lienhypertexte"/>
            <w:sz w:val="24"/>
            <w:szCs w:val="24"/>
            <w:lang w:val="nl-BE"/>
          </w:rPr>
          <w:t>(lees meer)</w:t>
        </w:r>
      </w:hyperlink>
    </w:p>
    <w:tbl>
      <w:tblPr>
        <w:tblW w:w="12000" w:type="dxa"/>
        <w:tblCellSpacing w:w="0" w:type="dxa"/>
        <w:tblCellMar>
          <w:left w:w="0" w:type="dxa"/>
          <w:right w:w="0" w:type="dxa"/>
        </w:tblCellMar>
        <w:tblLook w:val="04A0" w:firstRow="1" w:lastRow="0" w:firstColumn="1" w:lastColumn="0" w:noHBand="0" w:noVBand="1"/>
      </w:tblPr>
      <w:tblGrid>
        <w:gridCol w:w="12000"/>
      </w:tblGrid>
      <w:tr w:rsidR="0097042E" w:rsidTr="0097042E">
        <w:trPr>
          <w:trHeight w:val="240"/>
          <w:tblCellSpacing w:w="0" w:type="dxa"/>
        </w:trPr>
        <w:tc>
          <w:tcPr>
            <w:tcW w:w="0" w:type="auto"/>
            <w:vAlign w:val="center"/>
            <w:hideMark/>
          </w:tcPr>
          <w:p w:rsidR="0097042E" w:rsidRDefault="0097042E">
            <w:pPr>
              <w:spacing w:after="0" w:line="240" w:lineRule="auto"/>
              <w:rPr>
                <w:sz w:val="20"/>
                <w:szCs w:val="20"/>
                <w:lang w:val="fr-BE" w:eastAsia="fr-BE"/>
              </w:rPr>
            </w:pPr>
          </w:p>
        </w:tc>
      </w:tr>
    </w:tbl>
    <w:p w:rsidR="0097042E" w:rsidRDefault="0097042E" w:rsidP="0097042E">
      <w:pPr>
        <w:rPr>
          <w:b/>
          <w:sz w:val="24"/>
          <w:szCs w:val="24"/>
          <w:lang w:val="nl-BE"/>
        </w:rPr>
      </w:pPr>
      <w:proofErr w:type="gramStart"/>
      <w:r>
        <w:rPr>
          <w:b/>
          <w:sz w:val="28"/>
          <w:szCs w:val="28"/>
          <w:lang w:val="nl-BE"/>
        </w:rPr>
        <w:t xml:space="preserve">Het  </w:t>
      </w:r>
      <w:proofErr w:type="gramEnd"/>
      <w:r>
        <w:rPr>
          <w:b/>
          <w:sz w:val="28"/>
          <w:szCs w:val="28"/>
          <w:lang w:val="nl-BE"/>
        </w:rPr>
        <w:t>Kimberley proces: de ambitie versterken</w:t>
      </w:r>
    </w:p>
    <w:p w:rsidR="00DC7C53" w:rsidRDefault="0097042E" w:rsidP="0097042E">
      <w:pPr>
        <w:rPr>
          <w:sz w:val="24"/>
          <w:szCs w:val="24"/>
          <w:lang w:val="nl-BE"/>
        </w:rPr>
      </w:pPr>
      <w:r>
        <w:rPr>
          <w:sz w:val="24"/>
          <w:szCs w:val="24"/>
          <w:lang w:val="nl-BE"/>
        </w:rPr>
        <w:t xml:space="preserve">Gedurende zijn eerste jaren, kon het Kimberley proces (KP) beschouwd worden als </w:t>
      </w:r>
      <w:proofErr w:type="gramStart"/>
      <w:r>
        <w:rPr>
          <w:sz w:val="24"/>
          <w:szCs w:val="24"/>
          <w:lang w:val="nl-BE"/>
        </w:rPr>
        <w:t>een</w:t>
      </w:r>
      <w:proofErr w:type="gramEnd"/>
      <w:r>
        <w:rPr>
          <w:sz w:val="24"/>
          <w:szCs w:val="24"/>
          <w:lang w:val="nl-BE"/>
        </w:rPr>
        <w:t xml:space="preserve"> meer</w:t>
      </w:r>
      <w:r>
        <w:rPr>
          <w:sz w:val="24"/>
          <w:szCs w:val="24"/>
          <w:lang w:val="nl-BE"/>
        </w:rPr>
        <w:t xml:space="preserve"> </w:t>
      </w:r>
      <w:r>
        <w:rPr>
          <w:sz w:val="24"/>
          <w:szCs w:val="24"/>
          <w:lang w:val="nl-BE"/>
        </w:rPr>
        <w:t xml:space="preserve">partijen proces, ambitieus en een voorloper. Maar later begonnen zijn verdiensten te </w:t>
      </w:r>
      <w:r>
        <w:rPr>
          <w:sz w:val="24"/>
          <w:szCs w:val="24"/>
          <w:lang w:val="nl-BE"/>
        </w:rPr>
        <w:lastRenderedPageBreak/>
        <w:t xml:space="preserve">slinken: de talrijke opkomende dreigingen hebben langzaamaan de kwetsbaarheden aangetoond van het bestuur van de diamantsector. Het KP moet vandaag…. </w:t>
      </w:r>
      <w:r>
        <w:rPr>
          <w:sz w:val="24"/>
          <w:szCs w:val="24"/>
          <w:lang w:val="nl-BE"/>
        </w:rPr>
        <w:tab/>
      </w:r>
    </w:p>
    <w:p w:rsidR="0097042E" w:rsidRDefault="00DC7C53" w:rsidP="0097042E">
      <w:pPr>
        <w:rPr>
          <w:sz w:val="24"/>
          <w:szCs w:val="24"/>
          <w:lang w:val="nl-BE"/>
        </w:rPr>
      </w:pPr>
      <w:hyperlink r:id="rId11" w:history="1">
        <w:r w:rsidR="0097042E" w:rsidRPr="00DC7C53">
          <w:rPr>
            <w:rStyle w:val="Lienhypertexte"/>
            <w:sz w:val="24"/>
            <w:szCs w:val="24"/>
            <w:lang w:val="nl-BE"/>
          </w:rPr>
          <w:t>(lees meer)</w:t>
        </w:r>
      </w:hyperlink>
    </w:p>
    <w:tbl>
      <w:tblPr>
        <w:tblW w:w="12000" w:type="dxa"/>
        <w:tblCellSpacing w:w="0" w:type="dxa"/>
        <w:tblCellMar>
          <w:left w:w="0" w:type="dxa"/>
          <w:right w:w="0" w:type="dxa"/>
        </w:tblCellMar>
        <w:tblLook w:val="04A0" w:firstRow="1" w:lastRow="0" w:firstColumn="1" w:lastColumn="0" w:noHBand="0" w:noVBand="1"/>
      </w:tblPr>
      <w:tblGrid>
        <w:gridCol w:w="12000"/>
      </w:tblGrid>
      <w:tr w:rsidR="0097042E" w:rsidTr="0097042E">
        <w:trPr>
          <w:trHeight w:val="240"/>
          <w:tblCellSpacing w:w="0" w:type="dxa"/>
        </w:trPr>
        <w:tc>
          <w:tcPr>
            <w:tcW w:w="0" w:type="auto"/>
            <w:vAlign w:val="center"/>
            <w:hideMark/>
          </w:tcPr>
          <w:p w:rsidR="0097042E" w:rsidRDefault="0097042E">
            <w:pPr>
              <w:spacing w:after="0" w:line="240" w:lineRule="auto"/>
              <w:rPr>
                <w:sz w:val="20"/>
                <w:szCs w:val="20"/>
                <w:lang w:val="fr-BE" w:eastAsia="fr-BE"/>
              </w:rPr>
            </w:pPr>
          </w:p>
        </w:tc>
      </w:tr>
    </w:tbl>
    <w:p w:rsidR="0097042E" w:rsidRDefault="0097042E" w:rsidP="0097042E">
      <w:pPr>
        <w:rPr>
          <w:b/>
          <w:sz w:val="24"/>
          <w:szCs w:val="24"/>
          <w:lang w:val="nl-BE"/>
        </w:rPr>
      </w:pPr>
      <w:r>
        <w:rPr>
          <w:b/>
          <w:sz w:val="28"/>
          <w:szCs w:val="28"/>
          <w:lang w:val="nl-BE"/>
        </w:rPr>
        <w:t>Wat slecht is voor de gans is slecht voor de gent – De saga van het glyfosaat en de Europese Unie</w:t>
      </w:r>
    </w:p>
    <w:p w:rsidR="00DC7C53" w:rsidRDefault="0097042E" w:rsidP="0097042E">
      <w:pPr>
        <w:rPr>
          <w:sz w:val="24"/>
          <w:szCs w:val="24"/>
          <w:lang w:val="nl-BE"/>
        </w:rPr>
      </w:pPr>
      <w:r>
        <w:rPr>
          <w:sz w:val="24"/>
          <w:szCs w:val="24"/>
          <w:lang w:val="nl-BE"/>
        </w:rPr>
        <w:t xml:space="preserve">De verwikkelingen van de recente “impasse” in het Parlement betreffende de uitbreiding van de licentie voor het </w:t>
      </w:r>
      <w:r>
        <w:rPr>
          <w:sz w:val="24"/>
          <w:szCs w:val="24"/>
          <w:lang w:val="nl-BE"/>
        </w:rPr>
        <w:t xml:space="preserve">gebruik </w:t>
      </w:r>
      <w:r>
        <w:rPr>
          <w:sz w:val="24"/>
          <w:szCs w:val="24"/>
          <w:lang w:val="nl-BE"/>
        </w:rPr>
        <w:t>van herbiciden op basis van glyfosaat wegens bezorgdheid voor mogelijke gevolgen op de gezondheid, zijn wel erg onrustwekkend. Het Europese Parlement kon niet met meerderheid stemmen tegen…</w:t>
      </w:r>
      <w:r>
        <w:rPr>
          <w:sz w:val="24"/>
          <w:szCs w:val="24"/>
          <w:lang w:val="nl-BE"/>
        </w:rPr>
        <w:tab/>
      </w:r>
      <w:r>
        <w:rPr>
          <w:sz w:val="24"/>
          <w:szCs w:val="24"/>
          <w:lang w:val="nl-BE"/>
        </w:rPr>
        <w:tab/>
      </w:r>
    </w:p>
    <w:p w:rsidR="0097042E" w:rsidRDefault="00DC7C53" w:rsidP="0097042E">
      <w:pPr>
        <w:rPr>
          <w:sz w:val="24"/>
          <w:szCs w:val="24"/>
          <w:lang w:val="nl-BE"/>
        </w:rPr>
      </w:pPr>
      <w:hyperlink r:id="rId12" w:history="1">
        <w:r w:rsidR="0097042E" w:rsidRPr="00DC7C53">
          <w:rPr>
            <w:rStyle w:val="Lienhypertexte"/>
            <w:sz w:val="24"/>
            <w:szCs w:val="24"/>
            <w:lang w:val="nl-BE"/>
          </w:rPr>
          <w:t>(lees meer)</w:t>
        </w:r>
      </w:hyperlink>
    </w:p>
    <w:p w:rsidR="0097042E" w:rsidRDefault="0097042E" w:rsidP="0097042E">
      <w:pPr>
        <w:spacing w:after="0" w:line="240" w:lineRule="auto"/>
        <w:rPr>
          <w:rFonts w:ascii="Times" w:eastAsia="Times New Roman" w:hAnsi="Times"/>
          <w:vanish/>
          <w:sz w:val="20"/>
          <w:szCs w:val="20"/>
          <w:lang w:val="fr-BE" w:eastAsia="fr-FR"/>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97042E" w:rsidTr="0097042E">
        <w:trPr>
          <w:trHeight w:val="240"/>
          <w:tblCellSpacing w:w="0" w:type="dxa"/>
        </w:trPr>
        <w:tc>
          <w:tcPr>
            <w:tcW w:w="0" w:type="auto"/>
            <w:vAlign w:val="center"/>
            <w:hideMark/>
          </w:tcPr>
          <w:p w:rsidR="0097042E" w:rsidRDefault="0097042E">
            <w:pPr>
              <w:spacing w:after="0" w:line="240" w:lineRule="auto"/>
              <w:rPr>
                <w:sz w:val="20"/>
                <w:szCs w:val="20"/>
                <w:lang w:val="fr-BE" w:eastAsia="fr-BE"/>
              </w:rPr>
            </w:pPr>
          </w:p>
        </w:tc>
      </w:tr>
    </w:tbl>
    <w:p w:rsidR="0097042E" w:rsidRDefault="0097042E" w:rsidP="0097042E">
      <w:pPr>
        <w:rPr>
          <w:b/>
          <w:sz w:val="24"/>
          <w:szCs w:val="24"/>
          <w:lang w:val="nl-BE"/>
        </w:rPr>
      </w:pPr>
      <w:r>
        <w:rPr>
          <w:b/>
          <w:sz w:val="28"/>
          <w:szCs w:val="28"/>
          <w:lang w:val="nl-BE"/>
        </w:rPr>
        <w:t>AEFJN hield zijn jaarlijkse algemene vergadering</w:t>
      </w:r>
    </w:p>
    <w:p w:rsidR="0097042E" w:rsidRDefault="0097042E" w:rsidP="0097042E">
      <w:pPr>
        <w:rPr>
          <w:sz w:val="24"/>
          <w:szCs w:val="24"/>
          <w:lang w:val="nl-BE"/>
        </w:rPr>
      </w:pPr>
      <w:r>
        <w:rPr>
          <w:sz w:val="24"/>
          <w:szCs w:val="24"/>
          <w:lang w:val="nl-BE"/>
        </w:rPr>
        <w:t>Het netwerk Geloof en Rechtvaardigheid Afrika Europa (AEFJN), dat 48 religieuze congregaties telt die streven naar economische rechtvaardigheid tussen Afrika en Europa, hield zijn jaarlijkse algemene vergadering op 10 november 2017. Dertig mannelijke en vrouwelijke religieuzen van een twintigtal religieuze gemeenschappen kwamen bijeen…</w:t>
      </w:r>
    </w:p>
    <w:p w:rsidR="0097042E" w:rsidRDefault="00DC7C53" w:rsidP="0097042E">
      <w:pPr>
        <w:rPr>
          <w:sz w:val="24"/>
          <w:szCs w:val="24"/>
          <w:lang w:val="nl-BE"/>
        </w:rPr>
      </w:pPr>
      <w:hyperlink r:id="rId13" w:history="1">
        <w:r w:rsidR="0097042E" w:rsidRPr="00DC7C53">
          <w:rPr>
            <w:rStyle w:val="Lienhypertexte"/>
            <w:sz w:val="24"/>
            <w:szCs w:val="24"/>
            <w:lang w:val="nl-BE"/>
          </w:rPr>
          <w:t>(lees meer)</w:t>
        </w:r>
      </w:hyperlink>
    </w:p>
    <w:tbl>
      <w:tblPr>
        <w:tblW w:w="12000" w:type="dxa"/>
        <w:tblCellSpacing w:w="0" w:type="dxa"/>
        <w:tblCellMar>
          <w:left w:w="0" w:type="dxa"/>
          <w:right w:w="0" w:type="dxa"/>
        </w:tblCellMar>
        <w:tblLook w:val="04A0" w:firstRow="1" w:lastRow="0" w:firstColumn="1" w:lastColumn="0" w:noHBand="0" w:noVBand="1"/>
      </w:tblPr>
      <w:tblGrid>
        <w:gridCol w:w="12000"/>
      </w:tblGrid>
      <w:tr w:rsidR="0097042E" w:rsidTr="0097042E">
        <w:trPr>
          <w:trHeight w:val="240"/>
          <w:tblCellSpacing w:w="0" w:type="dxa"/>
        </w:trPr>
        <w:tc>
          <w:tcPr>
            <w:tcW w:w="0" w:type="auto"/>
            <w:vAlign w:val="center"/>
            <w:hideMark/>
          </w:tcPr>
          <w:p w:rsidR="0097042E" w:rsidRDefault="0097042E">
            <w:pPr>
              <w:spacing w:after="0" w:line="240" w:lineRule="auto"/>
              <w:rPr>
                <w:sz w:val="20"/>
                <w:szCs w:val="20"/>
                <w:lang w:val="fr-BE" w:eastAsia="fr-BE"/>
              </w:rPr>
            </w:pPr>
          </w:p>
        </w:tc>
      </w:tr>
    </w:tbl>
    <w:p w:rsidR="0097042E" w:rsidRDefault="0097042E" w:rsidP="0097042E">
      <w:pPr>
        <w:rPr>
          <w:b/>
          <w:sz w:val="24"/>
          <w:szCs w:val="24"/>
          <w:lang w:val="nl-BE"/>
        </w:rPr>
      </w:pPr>
      <w:r>
        <w:rPr>
          <w:b/>
          <w:sz w:val="28"/>
          <w:szCs w:val="28"/>
          <w:lang w:val="nl-BE"/>
        </w:rPr>
        <w:t>Petities</w:t>
      </w:r>
    </w:p>
    <w:p w:rsidR="0097042E" w:rsidRDefault="0097042E" w:rsidP="0097042E">
      <w:pPr>
        <w:rPr>
          <w:b/>
          <w:sz w:val="24"/>
          <w:szCs w:val="24"/>
          <w:lang w:val="nl-BE"/>
        </w:rPr>
      </w:pPr>
      <w:r>
        <w:rPr>
          <w:b/>
          <w:sz w:val="24"/>
          <w:szCs w:val="24"/>
          <w:lang w:val="nl-BE"/>
        </w:rPr>
        <w:t>Voor een meer democratische handelspolitiek</w:t>
      </w:r>
    </w:p>
    <w:p w:rsidR="0097042E" w:rsidRDefault="0097042E" w:rsidP="0097042E">
      <w:pPr>
        <w:rPr>
          <w:sz w:val="24"/>
          <w:szCs w:val="24"/>
          <w:lang w:val="nl-BE"/>
        </w:rPr>
      </w:pPr>
      <w:r>
        <w:rPr>
          <w:sz w:val="24"/>
          <w:szCs w:val="24"/>
          <w:lang w:val="nl-BE"/>
        </w:rPr>
        <w:t xml:space="preserve">Wil a.u.b. de open brief ondertekenen: </w:t>
      </w:r>
      <w:proofErr w:type="gramStart"/>
      <w:r>
        <w:rPr>
          <w:sz w:val="24"/>
          <w:szCs w:val="24"/>
          <w:lang w:val="nl-BE"/>
        </w:rPr>
        <w:t xml:space="preserve">“Handels-  </w:t>
      </w:r>
      <w:proofErr w:type="gramEnd"/>
      <w:r>
        <w:rPr>
          <w:sz w:val="24"/>
          <w:szCs w:val="24"/>
          <w:lang w:val="nl-BE"/>
        </w:rPr>
        <w:t xml:space="preserve">Investeringspolitiek van EU moeten meer democratisch </w:t>
      </w:r>
      <w:r>
        <w:rPr>
          <w:sz w:val="24"/>
          <w:szCs w:val="24"/>
          <w:lang w:val="nl-BE"/>
        </w:rPr>
        <w:t>worden!</w:t>
      </w:r>
      <w:r>
        <w:rPr>
          <w:sz w:val="24"/>
          <w:szCs w:val="24"/>
          <w:lang w:val="nl-BE"/>
        </w:rPr>
        <w:t xml:space="preserve">” Hier tekenen: </w:t>
      </w:r>
      <w:hyperlink r:id="rId14" w:history="1">
        <w:r>
          <w:rPr>
            <w:rStyle w:val="Lienhypertexte"/>
            <w:sz w:val="24"/>
            <w:szCs w:val="24"/>
            <w:lang w:val="nl-BE"/>
          </w:rPr>
          <w:t>http://s2bnetwork.org/sign-democratisation-letter/</w:t>
        </w:r>
      </w:hyperlink>
    </w:p>
    <w:p w:rsidR="0097042E" w:rsidRDefault="0097042E" w:rsidP="0097042E">
      <w:pPr>
        <w:rPr>
          <w:b/>
          <w:sz w:val="24"/>
          <w:szCs w:val="24"/>
          <w:lang w:val="nl-BE"/>
        </w:rPr>
      </w:pPr>
      <w:r>
        <w:rPr>
          <w:b/>
          <w:sz w:val="28"/>
          <w:szCs w:val="28"/>
          <w:lang w:val="nl-BE"/>
        </w:rPr>
        <w:t>VIDEO’S</w:t>
      </w:r>
    </w:p>
    <w:p w:rsidR="0097042E" w:rsidRDefault="0097042E" w:rsidP="0097042E">
      <w:pPr>
        <w:rPr>
          <w:sz w:val="24"/>
          <w:szCs w:val="24"/>
          <w:lang w:val="nl-BE"/>
        </w:rPr>
      </w:pPr>
      <w:r>
        <w:rPr>
          <w:sz w:val="24"/>
          <w:szCs w:val="24"/>
          <w:lang w:val="nl-BE"/>
        </w:rPr>
        <w:t>Het einde nadert voor de immuniteit van de transnationale maatschappijen</w:t>
      </w:r>
    </w:p>
    <w:p w:rsidR="0097042E" w:rsidRDefault="0097042E" w:rsidP="0097042E">
      <w:pPr>
        <w:rPr>
          <w:sz w:val="24"/>
          <w:szCs w:val="24"/>
          <w:lang w:val="nl-BE"/>
        </w:rPr>
      </w:pPr>
      <w:proofErr w:type="gramStart"/>
      <w:r>
        <w:rPr>
          <w:sz w:val="24"/>
          <w:szCs w:val="24"/>
          <w:lang w:val="nl-BE"/>
        </w:rPr>
        <w:t xml:space="preserve">Zie: </w:t>
      </w:r>
      <w:hyperlink r:id="rId15" w:history="1">
        <w:r>
          <w:rPr>
            <w:rStyle w:val="Lienhypertexte"/>
            <w:rFonts w:eastAsia="Times New Roman"/>
          </w:rPr>
          <w:t>https://www.youtube.com/watch?time_continue=33&amp;v=yJmeT-kEyRo</w:t>
        </w:r>
      </w:hyperlink>
      <w:proofErr w:type="gramEnd"/>
    </w:p>
    <w:p w:rsidR="0097042E" w:rsidRDefault="0097042E" w:rsidP="0097042E">
      <w:pPr>
        <w:rPr>
          <w:sz w:val="24"/>
          <w:szCs w:val="24"/>
          <w:lang w:val="nl-BE"/>
        </w:rPr>
      </w:pPr>
    </w:p>
    <w:p w:rsidR="0097042E" w:rsidRDefault="0097042E" w:rsidP="0097042E">
      <w:pPr>
        <w:rPr>
          <w:sz w:val="24"/>
          <w:szCs w:val="24"/>
          <w:lang w:val="nl-BE"/>
        </w:rPr>
      </w:pPr>
      <w:r>
        <w:rPr>
          <w:sz w:val="24"/>
          <w:szCs w:val="24"/>
          <w:lang w:val="nl-BE"/>
        </w:rPr>
        <w:t>De vrouwen uit West Afrika verdedigen de traditionele palmolie</w:t>
      </w:r>
    </w:p>
    <w:p w:rsidR="00DD37E1" w:rsidRPr="0097042E" w:rsidRDefault="0097042E">
      <w:pPr>
        <w:rPr>
          <w:sz w:val="24"/>
          <w:szCs w:val="24"/>
        </w:rPr>
      </w:pPr>
      <w:r>
        <w:rPr>
          <w:sz w:val="24"/>
          <w:szCs w:val="24"/>
          <w:lang w:val="nl-BE"/>
        </w:rPr>
        <w:t xml:space="preserve">Zie: </w:t>
      </w:r>
      <w:hyperlink r:id="rId16" w:history="1">
        <w:r>
          <w:rPr>
            <w:rStyle w:val="Lienhypertexte"/>
          </w:rPr>
          <w:t>https://www.youtube.com/watch?v=Re_NbJHOrmk</w:t>
        </w:r>
      </w:hyperlink>
      <w:proofErr w:type="gramStart"/>
      <w:r>
        <w:t>  (13</w:t>
      </w:r>
      <w:proofErr w:type="gramEnd"/>
      <w:r>
        <w:t xml:space="preserve"> minuten)</w:t>
      </w:r>
    </w:p>
    <w:sectPr w:rsidR="00DD37E1" w:rsidRPr="0097042E" w:rsidSect="00DC7C53">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2E"/>
    <w:rsid w:val="0097042E"/>
    <w:rsid w:val="00DC7C53"/>
    <w:rsid w:val="00DD37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2E"/>
    <w:rPr>
      <w:rFonts w:ascii="Calibri" w:eastAsia="Calibri" w:hAnsi="Calibri" w:cs="Times New Roman"/>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7042E"/>
    <w:rPr>
      <w:color w:val="0000FF"/>
      <w:u w:val="single"/>
    </w:rPr>
  </w:style>
  <w:style w:type="character" w:styleId="Lienhypertextesuivivisit">
    <w:name w:val="FollowedHyperlink"/>
    <w:basedOn w:val="Policepardfaut"/>
    <w:uiPriority w:val="99"/>
    <w:semiHidden/>
    <w:unhideWhenUsed/>
    <w:rsid w:val="009704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2E"/>
    <w:rPr>
      <w:rFonts w:ascii="Calibri" w:eastAsia="Calibri" w:hAnsi="Calibri" w:cs="Times New Roman"/>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7042E"/>
    <w:rPr>
      <w:color w:val="0000FF"/>
      <w:u w:val="single"/>
    </w:rPr>
  </w:style>
  <w:style w:type="character" w:styleId="Lienhypertextesuivivisit">
    <w:name w:val="FollowedHyperlink"/>
    <w:basedOn w:val="Policepardfaut"/>
    <w:uiPriority w:val="99"/>
    <w:semiHidden/>
    <w:unhideWhenUsed/>
    <w:rsid w:val="00970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fjn.org/fr/creer-un-marche-pour-le-glyphosate-grace-aux-politiques-de-developpement/" TargetMode="External"/><Relationship Id="rId13" Type="http://schemas.openxmlformats.org/officeDocument/2006/relationships/hyperlink" Target="http://aefjn.org/fr/aefjn-tient-son-assemblee-generale-annuel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efjn.org/fr/echos-de-la-conference-en-cote-divoire/" TargetMode="External"/><Relationship Id="rId12" Type="http://schemas.openxmlformats.org/officeDocument/2006/relationships/hyperlink" Target="http://aefjn.org/fr/ce-qui-est-mauvais-pour-loie-est-mauvais-pour-le-jars-la-saga-sur-le-glyphosate-et-lunion-europeenn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efjn.org/mailster/2028/00000000000000000000000000000000/aHR0cHM6Ly93d3cueW91dHViZS5jb20vd2F0Y2g_dj1SZV9OYkpIT3Jtaw/1" TargetMode="External"/><Relationship Id="rId1" Type="http://schemas.openxmlformats.org/officeDocument/2006/relationships/styles" Target="styles.xml"/><Relationship Id="rId6" Type="http://schemas.openxmlformats.org/officeDocument/2006/relationships/image" Target="http://aefjn.org/wp-content/uploads/2016/12/header-400x114.jpg" TargetMode="External"/><Relationship Id="rId11" Type="http://schemas.openxmlformats.org/officeDocument/2006/relationships/hyperlink" Target="http://aefjn.org/fr/processus-kimberley-renforcer-lambition/" TargetMode="External"/><Relationship Id="rId5" Type="http://schemas.openxmlformats.org/officeDocument/2006/relationships/image" Target="media/image1.jpeg"/><Relationship Id="rId15" Type="http://schemas.openxmlformats.org/officeDocument/2006/relationships/hyperlink" Target="http://aefjn.org/mailster/2028/00000000000000000000000000000000/aHR0cHM6Ly93d3cueW91dHViZS5jb20vd2F0Y2g_dGltZV9jb250aW51ZT0zMyZhbXA7dj15Sm1lVC1rRXlSbw/1" TargetMode="External"/><Relationship Id="rId10" Type="http://schemas.openxmlformats.org/officeDocument/2006/relationships/hyperlink" Target="http://aefjn.org/fr/a-mi-course-dune-route-longue-et-sinueuse/" TargetMode="External"/><Relationship Id="rId4" Type="http://schemas.openxmlformats.org/officeDocument/2006/relationships/webSettings" Target="webSettings.xml"/><Relationship Id="rId9" Type="http://schemas.openxmlformats.org/officeDocument/2006/relationships/hyperlink" Target="http://aefjn.org/fr/le-plan-marshall-et-le-compact-avec-lafrique-contenu-et-critiques/" TargetMode="External"/><Relationship Id="rId14" Type="http://schemas.openxmlformats.org/officeDocument/2006/relationships/hyperlink" Target="http://s2bnetwork.org/sign-democratisation-let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2017-12-27T09:28:00Z</dcterms:created>
  <dcterms:modified xsi:type="dcterms:W3CDTF">2017-12-27T09:48:00Z</dcterms:modified>
</cp:coreProperties>
</file>