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53" w:rsidRDefault="00804153" w:rsidP="00804153">
      <w:pPr>
        <w:widowControl w:val="0"/>
        <w:autoSpaceDE w:val="0"/>
        <w:autoSpaceDN w:val="0"/>
        <w:adjustRightInd w:val="0"/>
        <w:spacing w:after="0" w:line="240" w:lineRule="auto"/>
        <w:rPr>
          <w:rFonts w:cs="Calibri"/>
          <w:sz w:val="28"/>
          <w:szCs w:val="28"/>
          <w:lang w:val="fr-FR"/>
        </w:rPr>
      </w:pPr>
      <w:r>
        <w:rPr>
          <w:rFonts w:cs="Calibri"/>
          <w:noProof/>
          <w:sz w:val="28"/>
          <w:szCs w:val="28"/>
          <w:lang w:eastAsia="fr-BE"/>
        </w:rPr>
        <w:drawing>
          <wp:inline distT="0" distB="0" distL="0" distR="0">
            <wp:extent cx="5076825" cy="12477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1247775"/>
                    </a:xfrm>
                    <a:prstGeom prst="rect">
                      <a:avLst/>
                    </a:prstGeom>
                    <a:noFill/>
                    <a:ln>
                      <a:noFill/>
                    </a:ln>
                  </pic:spPr>
                </pic:pic>
              </a:graphicData>
            </a:graphic>
          </wp:inline>
        </w:drawing>
      </w:r>
    </w:p>
    <w:p w:rsidR="00804153" w:rsidRDefault="00804153" w:rsidP="00804153">
      <w:pPr>
        <w:widowControl w:val="0"/>
        <w:autoSpaceDE w:val="0"/>
        <w:autoSpaceDN w:val="0"/>
        <w:adjustRightInd w:val="0"/>
        <w:spacing w:after="0" w:line="240" w:lineRule="auto"/>
        <w:rPr>
          <w:rFonts w:cs="Calibri"/>
          <w:b/>
          <w:bCs/>
          <w:color w:val="0070C0"/>
          <w:sz w:val="28"/>
          <w:szCs w:val="28"/>
          <w:lang w:val="fr-FR"/>
        </w:rPr>
      </w:pPr>
      <w:r>
        <w:rPr>
          <w:rFonts w:cs="Calibri"/>
          <w:b/>
          <w:bCs/>
          <w:sz w:val="28"/>
          <w:szCs w:val="28"/>
          <w:lang w:val="fr-FR"/>
        </w:rPr>
        <w:t>                           </w:t>
      </w:r>
      <w:r>
        <w:rPr>
          <w:rFonts w:cs="Calibri"/>
          <w:b/>
          <w:bCs/>
          <w:sz w:val="28"/>
          <w:szCs w:val="28"/>
          <w:lang w:val="fr-FR"/>
        </w:rPr>
        <w:t>                 </w:t>
      </w:r>
      <w:bookmarkStart w:id="0" w:name="_GoBack"/>
      <w:r w:rsidRPr="00804153">
        <w:rPr>
          <w:b/>
          <w:color w:val="0070C0"/>
          <w:sz w:val="28"/>
          <w:szCs w:val="28"/>
          <w:lang w:val="nl-BE"/>
        </w:rPr>
        <w:t xml:space="preserve">ECHO’S VAN </w:t>
      </w:r>
      <w:proofErr w:type="gramStart"/>
      <w:r w:rsidRPr="00804153">
        <w:rPr>
          <w:b/>
          <w:color w:val="0070C0"/>
          <w:sz w:val="28"/>
          <w:szCs w:val="28"/>
          <w:lang w:val="nl-BE"/>
        </w:rPr>
        <w:t>AEFJN</w:t>
      </w:r>
      <w:r w:rsidRPr="00804153">
        <w:rPr>
          <w:rFonts w:cs="Calibri"/>
          <w:b/>
          <w:bCs/>
          <w:color w:val="0070C0"/>
          <w:sz w:val="28"/>
          <w:szCs w:val="28"/>
          <w:lang w:val="fr-FR"/>
        </w:rPr>
        <w:t> </w:t>
      </w:r>
      <w:bookmarkEnd w:id="0"/>
      <w:r w:rsidRPr="00804153">
        <w:rPr>
          <w:rFonts w:cs="Calibri"/>
          <w:b/>
          <w:bCs/>
          <w:color w:val="0070C0"/>
          <w:sz w:val="28"/>
          <w:szCs w:val="28"/>
          <w:lang w:val="fr-FR"/>
        </w:rPr>
        <w:t>        </w:t>
      </w:r>
      <w:proofErr w:type="gramEnd"/>
    </w:p>
    <w:p w:rsidR="00804153" w:rsidRPr="00804153" w:rsidRDefault="00804153" w:rsidP="00804153">
      <w:pPr>
        <w:widowControl w:val="0"/>
        <w:autoSpaceDE w:val="0"/>
        <w:autoSpaceDN w:val="0"/>
        <w:adjustRightInd w:val="0"/>
        <w:spacing w:after="0" w:line="240" w:lineRule="auto"/>
        <w:rPr>
          <w:rFonts w:cs="Calibri"/>
          <w:b/>
          <w:bCs/>
          <w:sz w:val="28"/>
          <w:szCs w:val="28"/>
          <w:lang w:val="fr-FR"/>
        </w:rPr>
      </w:pPr>
    </w:p>
    <w:p w:rsidR="00804153" w:rsidRDefault="00804153" w:rsidP="00804153">
      <w:pPr>
        <w:rPr>
          <w:b/>
          <w:sz w:val="28"/>
          <w:szCs w:val="28"/>
          <w:lang w:val="nl-BE"/>
        </w:rPr>
      </w:pPr>
      <w:r>
        <w:rPr>
          <w:b/>
          <w:sz w:val="28"/>
          <w:szCs w:val="28"/>
          <w:lang w:val="nl-BE"/>
        </w:rPr>
        <w:tab/>
      </w:r>
      <w:r>
        <w:rPr>
          <w:b/>
          <w:sz w:val="28"/>
          <w:szCs w:val="28"/>
          <w:lang w:val="nl-BE"/>
        </w:rPr>
        <w:tab/>
        <w:t>N. 33 – november-december 2016</w:t>
      </w:r>
    </w:p>
    <w:p w:rsidR="00804153" w:rsidRDefault="00804153" w:rsidP="00804153">
      <w:pPr>
        <w:rPr>
          <w:b/>
          <w:sz w:val="28"/>
          <w:szCs w:val="28"/>
          <w:lang w:val="nl-BE"/>
        </w:rPr>
      </w:pPr>
    </w:p>
    <w:p w:rsidR="00804153" w:rsidRPr="00804153" w:rsidRDefault="00804153" w:rsidP="00804153">
      <w:pPr>
        <w:rPr>
          <w:b/>
          <w:color w:val="00B050"/>
          <w:sz w:val="28"/>
          <w:szCs w:val="28"/>
          <w:lang w:val="nl-BE"/>
        </w:rPr>
      </w:pPr>
      <w:r w:rsidRPr="00804153">
        <w:rPr>
          <w:b/>
          <w:color w:val="00B050"/>
          <w:sz w:val="28"/>
          <w:szCs w:val="28"/>
          <w:lang w:val="nl-BE"/>
        </w:rPr>
        <w:t>BEDENKINGEN</w:t>
      </w:r>
    </w:p>
    <w:p w:rsidR="00804153" w:rsidRDefault="00804153" w:rsidP="00804153">
      <w:pPr>
        <w:rPr>
          <w:b/>
          <w:sz w:val="28"/>
          <w:szCs w:val="28"/>
          <w:lang w:val="nl-BE"/>
        </w:rPr>
      </w:pPr>
    </w:p>
    <w:p w:rsidR="00804153" w:rsidRDefault="00804153" w:rsidP="00804153">
      <w:pPr>
        <w:rPr>
          <w:b/>
          <w:sz w:val="28"/>
          <w:szCs w:val="28"/>
          <w:lang w:val="nl-BE"/>
        </w:rPr>
      </w:pPr>
      <w:proofErr w:type="spellStart"/>
      <w:r>
        <w:rPr>
          <w:b/>
          <w:sz w:val="28"/>
          <w:szCs w:val="28"/>
          <w:lang w:val="nl-BE"/>
        </w:rPr>
        <w:t>Laudato</w:t>
      </w:r>
      <w:proofErr w:type="spellEnd"/>
      <w:r>
        <w:rPr>
          <w:b/>
          <w:sz w:val="28"/>
          <w:szCs w:val="28"/>
          <w:lang w:val="nl-BE"/>
        </w:rPr>
        <w:t xml:space="preserve"> Si – Een jaar later</w:t>
      </w:r>
    </w:p>
    <w:p w:rsidR="00804153" w:rsidRDefault="00804153" w:rsidP="00804153">
      <w:pPr>
        <w:rPr>
          <w:sz w:val="28"/>
          <w:szCs w:val="28"/>
          <w:lang w:val="nl-BE"/>
        </w:rPr>
      </w:pPr>
      <w:r>
        <w:rPr>
          <w:sz w:val="28"/>
          <w:szCs w:val="28"/>
          <w:lang w:val="nl-BE"/>
        </w:rPr>
        <w:t>Geen enkel kerkelijk document van de laatste tien jaren is zo goed ontvangen geweest als de encycliek van paus Franciscus “</w:t>
      </w:r>
      <w:proofErr w:type="spellStart"/>
      <w:r>
        <w:rPr>
          <w:sz w:val="28"/>
          <w:szCs w:val="28"/>
          <w:lang w:val="nl-BE"/>
        </w:rPr>
        <w:t>Laudato</w:t>
      </w:r>
      <w:proofErr w:type="spellEnd"/>
      <w:r>
        <w:rPr>
          <w:sz w:val="28"/>
          <w:szCs w:val="28"/>
          <w:lang w:val="nl-BE"/>
        </w:rPr>
        <w:t xml:space="preserve"> Si – over de zorg voor ons gemeenschappelijk huis”. Haar merkwaardige synthese van de wetenschappelijke bewijzen, de sociale analyses, de theologische bedenkingen en de spirituele visie, heeft een ontelbaar aantal personen geïnspireerd, in het bijzonder buiten de grenzen van de katholieke Kerk. Als antwoord werden een aantal diepgaande initiatieven ondernomen door christelijke groepen, organisaties van de civiele maatschappij, de wetenschappelijke gemeenschap en diverse economische en politieke medespelers. Ook al is de lijst lang en al zijn de gevarieerde antwoorden echt aanmoedigend in bepaalde regio’s van de wereld, haar impact moet nog zichtbaar worden op het Afrikaanse continent.</w:t>
      </w:r>
    </w:p>
    <w:p w:rsidR="00804153" w:rsidRDefault="00804153" w:rsidP="00804153">
      <w:pPr>
        <w:widowControl w:val="0"/>
        <w:autoSpaceDE w:val="0"/>
        <w:autoSpaceDN w:val="0"/>
        <w:adjustRightInd w:val="0"/>
        <w:spacing w:after="0" w:line="240" w:lineRule="auto"/>
        <w:rPr>
          <w:rFonts w:cs="Calibri"/>
          <w:sz w:val="28"/>
          <w:szCs w:val="28"/>
          <w:lang w:val="fr-FR"/>
        </w:rPr>
      </w:pPr>
      <w:proofErr w:type="spellStart"/>
      <w:r w:rsidRPr="00804153">
        <w:rPr>
          <w:i/>
          <w:sz w:val="28"/>
          <w:szCs w:val="28"/>
        </w:rPr>
        <w:t>Meer</w:t>
      </w:r>
      <w:proofErr w:type="spellEnd"/>
      <w:r w:rsidRPr="00804153">
        <w:rPr>
          <w:i/>
          <w:sz w:val="28"/>
          <w:szCs w:val="28"/>
        </w:rPr>
        <w:t xml:space="preserve"> </w:t>
      </w:r>
      <w:proofErr w:type="spellStart"/>
      <w:r w:rsidRPr="00804153">
        <w:rPr>
          <w:i/>
          <w:sz w:val="28"/>
          <w:szCs w:val="28"/>
        </w:rPr>
        <w:t>weten</w:t>
      </w:r>
      <w:proofErr w:type="spellEnd"/>
      <w:r w:rsidRPr="00804153">
        <w:rPr>
          <w:i/>
          <w:sz w:val="28"/>
          <w:szCs w:val="28"/>
        </w:rPr>
        <w:t xml:space="preserve"> </w:t>
      </w:r>
      <w:hyperlink r:id="rId6" w:history="1">
        <w:r>
          <w:rPr>
            <w:rStyle w:val="Lienhypertexte"/>
            <w:rFonts w:cs="Calibri"/>
            <w:color w:val="386EFF"/>
            <w:sz w:val="28"/>
            <w:szCs w:val="28"/>
            <w:lang w:val="fr-FR"/>
          </w:rPr>
          <w:t>Pour en</w:t>
        </w:r>
        <w:r>
          <w:rPr>
            <w:rStyle w:val="Lienhypertexte"/>
            <w:rFonts w:cs="Calibri"/>
            <w:color w:val="386EFF"/>
            <w:sz w:val="28"/>
            <w:szCs w:val="28"/>
            <w:lang w:val="fr-FR"/>
          </w:rPr>
          <w:t xml:space="preserve"> </w:t>
        </w:r>
        <w:r>
          <w:rPr>
            <w:rStyle w:val="Lienhypertexte"/>
            <w:rFonts w:cs="Calibri"/>
            <w:color w:val="386EFF"/>
            <w:sz w:val="28"/>
            <w:szCs w:val="28"/>
            <w:lang w:val="fr-FR"/>
          </w:rPr>
          <w:t>savoir plus</w:t>
        </w:r>
      </w:hyperlink>
    </w:p>
    <w:p w:rsidR="00804153" w:rsidRPr="00804153" w:rsidRDefault="00804153" w:rsidP="00804153">
      <w:pPr>
        <w:rPr>
          <w:sz w:val="28"/>
          <w:szCs w:val="28"/>
        </w:rPr>
      </w:pPr>
    </w:p>
    <w:p w:rsidR="00804153" w:rsidRPr="00804153" w:rsidRDefault="00804153" w:rsidP="00804153">
      <w:pPr>
        <w:rPr>
          <w:b/>
          <w:color w:val="00B050"/>
          <w:sz w:val="28"/>
          <w:szCs w:val="28"/>
          <w:lang w:val="nl-BE"/>
        </w:rPr>
      </w:pPr>
      <w:r w:rsidRPr="00804153">
        <w:rPr>
          <w:b/>
          <w:color w:val="00B050"/>
          <w:sz w:val="28"/>
          <w:szCs w:val="28"/>
          <w:lang w:val="nl-BE"/>
        </w:rPr>
        <w:t>VAN DE AEFJN DESK</w:t>
      </w:r>
    </w:p>
    <w:p w:rsidR="00804153" w:rsidRDefault="00804153" w:rsidP="00804153">
      <w:pPr>
        <w:rPr>
          <w:b/>
          <w:sz w:val="28"/>
          <w:szCs w:val="28"/>
          <w:lang w:val="nl-BE"/>
        </w:rPr>
      </w:pPr>
    </w:p>
    <w:p w:rsidR="00804153" w:rsidRDefault="00804153" w:rsidP="00804153">
      <w:pPr>
        <w:rPr>
          <w:b/>
          <w:sz w:val="28"/>
          <w:szCs w:val="28"/>
          <w:lang w:val="nl-BE"/>
        </w:rPr>
      </w:pPr>
      <w:r>
        <w:rPr>
          <w:b/>
          <w:sz w:val="28"/>
          <w:szCs w:val="28"/>
          <w:lang w:val="nl-BE"/>
        </w:rPr>
        <w:t>Liberalisering van de handel en niet commerciële hindernissen</w:t>
      </w:r>
    </w:p>
    <w:p w:rsidR="00804153" w:rsidRDefault="00804153" w:rsidP="00804153">
      <w:pPr>
        <w:rPr>
          <w:sz w:val="28"/>
          <w:szCs w:val="28"/>
          <w:lang w:val="nl-BE"/>
        </w:rPr>
      </w:pPr>
      <w:r>
        <w:rPr>
          <w:sz w:val="28"/>
          <w:szCs w:val="28"/>
          <w:lang w:val="nl-BE"/>
        </w:rPr>
        <w:t xml:space="preserve">Sinds de financiële crisis van 2007 hebben de economieën van de Europese Unie (EU) een stagnatie ondergaan van de productiegroei. Naast een stagnatie van de interne consumptie, lijkt de export de EU ook niet te helpen om uit de </w:t>
      </w:r>
      <w:r>
        <w:rPr>
          <w:sz w:val="28"/>
          <w:szCs w:val="28"/>
          <w:lang w:val="nl-BE"/>
        </w:rPr>
        <w:lastRenderedPageBreak/>
        <w:t xml:space="preserve">economische crisis te geraken. De netto export uit de Euro zone zou een rem blijven voor de groei in 2016, alvorens neutraal te worden in 2017. De EU promoveert vrij- handelsakkoorden, en legt het accent op de voordelen van de vermindering van de douanerechten in de internationale handel om de economieën te stimuleren. Maar de internationale handel is niet enkel geconditioneerd door tarifaire barrières. De vrijhandelsakkoorden zijn onderworpen aan talrijke andere niet tarifaire complexe hindernissen (BNT), die de import en export beperken volgens nationale en regionale regels. De niet commerciële hindernissen </w:t>
      </w:r>
      <w:proofErr w:type="spellStart"/>
      <w:r>
        <w:rPr>
          <w:sz w:val="28"/>
          <w:szCs w:val="28"/>
          <w:lang w:val="nl-BE"/>
        </w:rPr>
        <w:t>vortmen</w:t>
      </w:r>
      <w:proofErr w:type="spellEnd"/>
      <w:r>
        <w:rPr>
          <w:sz w:val="28"/>
          <w:szCs w:val="28"/>
          <w:lang w:val="nl-BE"/>
        </w:rPr>
        <w:t xml:space="preserve"> een puzzel van maatregelen verbonden aan directe of indirecte economische politieke reglementen. Ook al zijn de BNT niet louter fiscale maatregelen, zij vergroten de uiteindelijke prijs van goederen en diensten.</w:t>
      </w:r>
    </w:p>
    <w:p w:rsidR="00804153" w:rsidRDefault="00804153" w:rsidP="00804153">
      <w:pPr>
        <w:widowControl w:val="0"/>
        <w:autoSpaceDE w:val="0"/>
        <w:autoSpaceDN w:val="0"/>
        <w:adjustRightInd w:val="0"/>
        <w:spacing w:after="0" w:line="240" w:lineRule="auto"/>
        <w:rPr>
          <w:rFonts w:cs="Calibri"/>
          <w:sz w:val="28"/>
          <w:szCs w:val="28"/>
          <w:lang w:val="fr-FR"/>
        </w:rPr>
      </w:pPr>
      <w:proofErr w:type="spellStart"/>
      <w:r w:rsidRPr="00804153">
        <w:rPr>
          <w:i/>
          <w:sz w:val="28"/>
          <w:szCs w:val="28"/>
        </w:rPr>
        <w:t>Meer</w:t>
      </w:r>
      <w:proofErr w:type="spellEnd"/>
      <w:r w:rsidRPr="00804153">
        <w:rPr>
          <w:i/>
          <w:sz w:val="28"/>
          <w:szCs w:val="28"/>
        </w:rPr>
        <w:t xml:space="preserve"> </w:t>
      </w:r>
      <w:proofErr w:type="spellStart"/>
      <w:r w:rsidRPr="00804153">
        <w:rPr>
          <w:i/>
          <w:sz w:val="28"/>
          <w:szCs w:val="28"/>
        </w:rPr>
        <w:t>weten</w:t>
      </w:r>
      <w:proofErr w:type="spellEnd"/>
      <w:r w:rsidRPr="00804153">
        <w:rPr>
          <w:i/>
          <w:sz w:val="28"/>
          <w:szCs w:val="28"/>
        </w:rPr>
        <w:t xml:space="preserve"> </w:t>
      </w:r>
      <w:hyperlink r:id="rId7" w:history="1">
        <w:r>
          <w:rPr>
            <w:rStyle w:val="Lienhypertexte"/>
            <w:rFonts w:cs="Calibri"/>
            <w:color w:val="386EFF"/>
            <w:sz w:val="28"/>
            <w:szCs w:val="28"/>
            <w:lang w:val="fr-FR"/>
          </w:rPr>
          <w:t>Pour en savoir plus</w:t>
        </w:r>
      </w:hyperlink>
    </w:p>
    <w:p w:rsidR="00804153" w:rsidRPr="00804153" w:rsidRDefault="00804153" w:rsidP="00804153">
      <w:pPr>
        <w:widowControl w:val="0"/>
        <w:autoSpaceDE w:val="0"/>
        <w:autoSpaceDN w:val="0"/>
        <w:adjustRightInd w:val="0"/>
        <w:spacing w:after="0" w:line="240" w:lineRule="auto"/>
        <w:rPr>
          <w:b/>
          <w:sz w:val="28"/>
          <w:szCs w:val="28"/>
        </w:rPr>
      </w:pPr>
    </w:p>
    <w:p w:rsidR="00804153" w:rsidRDefault="00804153" w:rsidP="00804153">
      <w:pPr>
        <w:widowControl w:val="0"/>
        <w:autoSpaceDE w:val="0"/>
        <w:autoSpaceDN w:val="0"/>
        <w:adjustRightInd w:val="0"/>
        <w:spacing w:after="0" w:line="240" w:lineRule="auto"/>
        <w:rPr>
          <w:b/>
          <w:sz w:val="28"/>
          <w:szCs w:val="28"/>
          <w:lang w:val="nl-BE"/>
        </w:rPr>
      </w:pPr>
      <w:r>
        <w:rPr>
          <w:b/>
          <w:sz w:val="28"/>
          <w:szCs w:val="28"/>
          <w:lang w:val="nl-BE"/>
        </w:rPr>
        <w:t>Aasgierfondsen omringen Afrika</w:t>
      </w:r>
    </w:p>
    <w:p w:rsidR="00804153" w:rsidRPr="00804153" w:rsidRDefault="00804153" w:rsidP="00804153">
      <w:pPr>
        <w:widowControl w:val="0"/>
        <w:autoSpaceDE w:val="0"/>
        <w:autoSpaceDN w:val="0"/>
        <w:adjustRightInd w:val="0"/>
        <w:spacing w:after="0" w:line="240" w:lineRule="auto"/>
        <w:rPr>
          <w:rFonts w:cs="Calibri"/>
          <w:sz w:val="28"/>
          <w:szCs w:val="28"/>
          <w:lang w:val="nl-BE"/>
        </w:rPr>
      </w:pPr>
      <w:r>
        <w:rPr>
          <w:sz w:val="28"/>
          <w:szCs w:val="28"/>
          <w:lang w:val="nl-BE"/>
        </w:rPr>
        <w:t xml:space="preserve">In dit nummer komen we tot het thema van financiële plundering, vooral wegens de aasgierfondsen. Afrika lijdt onder een kapitaalvlucht </w:t>
      </w:r>
      <w:proofErr w:type="spellStart"/>
      <w:r>
        <w:rPr>
          <w:sz w:val="28"/>
          <w:szCs w:val="28"/>
          <w:lang w:val="nl-BE"/>
        </w:rPr>
        <w:t>veoorzaakt</w:t>
      </w:r>
      <w:proofErr w:type="spellEnd"/>
      <w:r>
        <w:rPr>
          <w:sz w:val="28"/>
          <w:szCs w:val="28"/>
          <w:lang w:val="nl-BE"/>
        </w:rPr>
        <w:t xml:space="preserve"> door verschillende mechanismen, bv. de ongeoorloofde handelsstromen veroorzaakt door praktijken van multinationale ondernemingen, zoals: de transfertprijs, het repatriëren van winsten, en de </w:t>
      </w:r>
      <w:proofErr w:type="spellStart"/>
      <w:r>
        <w:rPr>
          <w:sz w:val="28"/>
          <w:szCs w:val="28"/>
          <w:lang w:val="nl-BE"/>
        </w:rPr>
        <w:t>belastingsontduiking</w:t>
      </w:r>
      <w:proofErr w:type="spellEnd"/>
      <w:r>
        <w:rPr>
          <w:sz w:val="28"/>
          <w:szCs w:val="28"/>
          <w:lang w:val="nl-BE"/>
        </w:rPr>
        <w:t xml:space="preserve"> naar belastingparadijzen. Bovendien vormen de aasgierfondsen een ander mechanisme dat bijdraagt tot de plundering van de thesaurieën van de Afrikaanse landen.</w:t>
      </w:r>
    </w:p>
    <w:p w:rsidR="00804153" w:rsidRPr="00804153" w:rsidRDefault="00804153" w:rsidP="00804153">
      <w:pPr>
        <w:rPr>
          <w:sz w:val="28"/>
          <w:szCs w:val="28"/>
        </w:rPr>
      </w:pPr>
      <w:proofErr w:type="spellStart"/>
      <w:r w:rsidRPr="00804153">
        <w:rPr>
          <w:i/>
          <w:sz w:val="28"/>
          <w:szCs w:val="28"/>
        </w:rPr>
        <w:t>Meer</w:t>
      </w:r>
      <w:proofErr w:type="spellEnd"/>
      <w:r w:rsidRPr="00804153">
        <w:rPr>
          <w:i/>
          <w:sz w:val="28"/>
          <w:szCs w:val="28"/>
        </w:rPr>
        <w:t xml:space="preserve"> </w:t>
      </w:r>
      <w:proofErr w:type="spellStart"/>
      <w:r w:rsidRPr="00804153">
        <w:rPr>
          <w:i/>
          <w:sz w:val="28"/>
          <w:szCs w:val="28"/>
        </w:rPr>
        <w:t>weten</w:t>
      </w:r>
      <w:proofErr w:type="spellEnd"/>
      <w:r w:rsidRPr="00804153">
        <w:rPr>
          <w:i/>
          <w:sz w:val="28"/>
          <w:szCs w:val="28"/>
        </w:rPr>
        <w:t xml:space="preserve"> </w:t>
      </w:r>
      <w:hyperlink r:id="rId8" w:history="1">
        <w:r>
          <w:rPr>
            <w:rStyle w:val="Lienhypertexte"/>
            <w:rFonts w:cs="Calibri"/>
            <w:color w:val="386EFF"/>
            <w:sz w:val="28"/>
            <w:szCs w:val="28"/>
            <w:lang w:val="fr-FR"/>
          </w:rPr>
          <w:t>Pour en savoir plus</w:t>
        </w:r>
      </w:hyperlink>
    </w:p>
    <w:p w:rsidR="00804153" w:rsidRPr="00804153" w:rsidRDefault="00804153" w:rsidP="00804153">
      <w:pPr>
        <w:rPr>
          <w:sz w:val="28"/>
          <w:szCs w:val="28"/>
        </w:rPr>
      </w:pPr>
    </w:p>
    <w:p w:rsidR="00804153" w:rsidRPr="00804153" w:rsidRDefault="00804153" w:rsidP="00804153">
      <w:pPr>
        <w:rPr>
          <w:b/>
          <w:color w:val="00B050"/>
          <w:sz w:val="28"/>
          <w:szCs w:val="28"/>
          <w:lang w:val="nl-BE"/>
        </w:rPr>
      </w:pPr>
      <w:r w:rsidRPr="00804153">
        <w:rPr>
          <w:b/>
          <w:color w:val="00B050"/>
          <w:sz w:val="28"/>
          <w:szCs w:val="28"/>
          <w:lang w:val="nl-BE"/>
        </w:rPr>
        <w:t>OP DE VOORPAGINA</w:t>
      </w:r>
    </w:p>
    <w:p w:rsidR="00804153" w:rsidRDefault="00804153" w:rsidP="00804153">
      <w:pPr>
        <w:rPr>
          <w:b/>
          <w:sz w:val="28"/>
          <w:szCs w:val="28"/>
          <w:lang w:val="nl-BE"/>
        </w:rPr>
      </w:pPr>
    </w:p>
    <w:p w:rsidR="00804153" w:rsidRDefault="00804153" w:rsidP="00804153">
      <w:pPr>
        <w:rPr>
          <w:b/>
          <w:sz w:val="28"/>
          <w:szCs w:val="28"/>
          <w:lang w:val="nl-BE"/>
        </w:rPr>
      </w:pPr>
      <w:r>
        <w:rPr>
          <w:b/>
          <w:sz w:val="28"/>
          <w:szCs w:val="28"/>
          <w:lang w:val="nl-BE"/>
        </w:rPr>
        <w:t>Cop22: Afrika zou de graanzolder van Afrika kunnen worden</w:t>
      </w:r>
    </w:p>
    <w:p w:rsidR="00804153" w:rsidRDefault="00804153" w:rsidP="00804153">
      <w:pPr>
        <w:rPr>
          <w:sz w:val="28"/>
          <w:szCs w:val="28"/>
          <w:lang w:val="nl-BE"/>
        </w:rPr>
      </w:pPr>
      <w:r>
        <w:rPr>
          <w:sz w:val="28"/>
          <w:szCs w:val="28"/>
          <w:lang w:val="nl-BE"/>
        </w:rPr>
        <w:t xml:space="preserve">Nog voor de Cop22 te </w:t>
      </w:r>
      <w:proofErr w:type="spellStart"/>
      <w:r>
        <w:rPr>
          <w:sz w:val="28"/>
          <w:szCs w:val="28"/>
          <w:lang w:val="nl-BE"/>
        </w:rPr>
        <w:t>Marrakech</w:t>
      </w:r>
      <w:proofErr w:type="spellEnd"/>
      <w:r>
        <w:rPr>
          <w:sz w:val="28"/>
          <w:szCs w:val="28"/>
          <w:lang w:val="nl-BE"/>
        </w:rPr>
        <w:t xml:space="preserve">, waren een dertigtal Afrikaanse landen samengekomen om de aanpassing van hun landbouw aan de klimaatverandering te verdedigen en om het Afrikaanse continent in het centrum te plaatsen van de onderhandelingen. Deze ambitie wordt geschraagd door het initiatief AAA (Aanpassing van de Afrikaanse Landbouw). Maar we worden geschokt door een bevreemdende vaststelling van de voorzitter van de Afrikaanse onderhandelaars, </w:t>
      </w:r>
      <w:proofErr w:type="spellStart"/>
      <w:r>
        <w:rPr>
          <w:sz w:val="28"/>
          <w:szCs w:val="28"/>
          <w:lang w:val="nl-BE"/>
        </w:rPr>
        <w:t>Seyni</w:t>
      </w:r>
      <w:proofErr w:type="spellEnd"/>
      <w:r>
        <w:rPr>
          <w:sz w:val="28"/>
          <w:szCs w:val="28"/>
          <w:lang w:val="nl-BE"/>
        </w:rPr>
        <w:t xml:space="preserve"> </w:t>
      </w:r>
      <w:proofErr w:type="spellStart"/>
      <w:r>
        <w:rPr>
          <w:sz w:val="28"/>
          <w:szCs w:val="28"/>
          <w:lang w:val="nl-BE"/>
        </w:rPr>
        <w:t>Nafo</w:t>
      </w:r>
      <w:proofErr w:type="spellEnd"/>
      <w:r>
        <w:rPr>
          <w:sz w:val="28"/>
          <w:szCs w:val="28"/>
          <w:lang w:val="nl-BE"/>
        </w:rPr>
        <w:t xml:space="preserve">: “Ook al is het maar verantwoordelijk voor 4% van de mondiale uitstoot van broeikasgassen, is het continent het grote slachtoffer van de planetaire verwarming. Twee derden van de landbouwgronden zullen verloren gaan voor 2025, ook al wordt de verhoging van de </w:t>
      </w:r>
      <w:proofErr w:type="spellStart"/>
      <w:r>
        <w:rPr>
          <w:sz w:val="28"/>
          <w:szCs w:val="28"/>
          <w:lang w:val="nl-BE"/>
        </w:rPr>
        <w:t>tempetratuur</w:t>
      </w:r>
      <w:proofErr w:type="spellEnd"/>
      <w:r>
        <w:rPr>
          <w:sz w:val="28"/>
          <w:szCs w:val="28"/>
          <w:lang w:val="nl-BE"/>
        </w:rPr>
        <w:t xml:space="preserve"> beperkt tot 2%”. En de landbouw is de centrale factor van de Afrikaanse economie. Hij betreft tussen 25% en 35% van de werkgelegenheid, volgens de landen, en vertegenwoordigt 70% van de inkomsten en een kwart van het totale BBP. </w:t>
      </w:r>
    </w:p>
    <w:p w:rsidR="00804153" w:rsidRPr="00804153" w:rsidRDefault="00804153" w:rsidP="00804153">
      <w:pPr>
        <w:rPr>
          <w:sz w:val="28"/>
          <w:szCs w:val="28"/>
        </w:rPr>
      </w:pPr>
      <w:proofErr w:type="spellStart"/>
      <w:r w:rsidRPr="00804153">
        <w:rPr>
          <w:i/>
          <w:sz w:val="28"/>
          <w:szCs w:val="28"/>
        </w:rPr>
        <w:t>Meer</w:t>
      </w:r>
      <w:proofErr w:type="spellEnd"/>
      <w:r w:rsidRPr="00804153">
        <w:rPr>
          <w:i/>
          <w:sz w:val="28"/>
          <w:szCs w:val="28"/>
        </w:rPr>
        <w:t xml:space="preserve"> </w:t>
      </w:r>
      <w:proofErr w:type="spellStart"/>
      <w:r w:rsidRPr="00804153">
        <w:rPr>
          <w:i/>
          <w:sz w:val="28"/>
          <w:szCs w:val="28"/>
        </w:rPr>
        <w:t>weten</w:t>
      </w:r>
      <w:proofErr w:type="spellEnd"/>
      <w:r w:rsidRPr="00804153">
        <w:rPr>
          <w:i/>
          <w:sz w:val="28"/>
          <w:szCs w:val="28"/>
        </w:rPr>
        <w:t xml:space="preserve"> </w:t>
      </w:r>
      <w:r>
        <w:rPr>
          <w:rFonts w:cs="Calibri"/>
          <w:sz w:val="28"/>
          <w:szCs w:val="28"/>
          <w:lang w:val="fr-FR"/>
        </w:rPr>
        <w:t>  </w:t>
      </w:r>
      <w:hyperlink r:id="rId9" w:history="1">
        <w:r>
          <w:rPr>
            <w:rStyle w:val="Lienhypertexte"/>
            <w:rFonts w:cs="Calibri"/>
            <w:color w:val="386EFF"/>
            <w:sz w:val="28"/>
            <w:szCs w:val="28"/>
            <w:lang w:val="fr-FR"/>
          </w:rPr>
          <w:t>Pour en savoir plus</w:t>
        </w:r>
      </w:hyperlink>
    </w:p>
    <w:p w:rsidR="00804153" w:rsidRPr="00804153" w:rsidRDefault="00804153" w:rsidP="00804153">
      <w:pPr>
        <w:rPr>
          <w:sz w:val="28"/>
          <w:szCs w:val="28"/>
        </w:rPr>
      </w:pPr>
    </w:p>
    <w:p w:rsidR="00804153" w:rsidRPr="00804153" w:rsidRDefault="00804153" w:rsidP="00804153">
      <w:pPr>
        <w:rPr>
          <w:b/>
          <w:color w:val="00B050"/>
          <w:sz w:val="28"/>
          <w:szCs w:val="28"/>
          <w:lang w:val="nl-BE"/>
        </w:rPr>
      </w:pPr>
      <w:r w:rsidRPr="00804153">
        <w:rPr>
          <w:b/>
          <w:color w:val="00B050"/>
          <w:sz w:val="28"/>
          <w:szCs w:val="28"/>
          <w:lang w:val="nl-BE"/>
        </w:rPr>
        <w:t>PLEIDOOI</w:t>
      </w:r>
    </w:p>
    <w:p w:rsidR="00804153" w:rsidRDefault="00804153" w:rsidP="00804153">
      <w:pPr>
        <w:rPr>
          <w:b/>
          <w:sz w:val="28"/>
          <w:szCs w:val="28"/>
          <w:lang w:val="nl-BE"/>
        </w:rPr>
      </w:pPr>
    </w:p>
    <w:p w:rsidR="00804153" w:rsidRDefault="00804153" w:rsidP="00804153">
      <w:pPr>
        <w:rPr>
          <w:b/>
          <w:sz w:val="28"/>
          <w:szCs w:val="28"/>
          <w:lang w:val="nl-BE"/>
        </w:rPr>
      </w:pPr>
      <w:r>
        <w:rPr>
          <w:b/>
          <w:sz w:val="28"/>
          <w:szCs w:val="28"/>
          <w:lang w:val="nl-BE"/>
        </w:rPr>
        <w:t>Interimair akkoord van economisch partnerschap tussen Ghana en het Europees Parlement</w:t>
      </w:r>
    </w:p>
    <w:p w:rsidR="00804153" w:rsidRDefault="00804153" w:rsidP="00804153">
      <w:pPr>
        <w:rPr>
          <w:sz w:val="28"/>
          <w:szCs w:val="28"/>
          <w:lang w:val="nl-BE"/>
        </w:rPr>
      </w:pPr>
      <w:r>
        <w:rPr>
          <w:sz w:val="28"/>
          <w:szCs w:val="28"/>
          <w:lang w:val="nl-BE"/>
        </w:rPr>
        <w:t>Het Comité voor internationale handel van het Europees parlement (INTA) heeft op 11 november 2016 het interimair akkoord van economisch partnerschap gestemd van Ghana (</w:t>
      </w:r>
      <w:proofErr w:type="spellStart"/>
      <w:r>
        <w:rPr>
          <w:sz w:val="28"/>
          <w:szCs w:val="28"/>
          <w:lang w:val="nl-BE"/>
        </w:rPr>
        <w:t>iEPA</w:t>
      </w:r>
      <w:proofErr w:type="spellEnd"/>
      <w:r>
        <w:rPr>
          <w:sz w:val="28"/>
          <w:szCs w:val="28"/>
          <w:lang w:val="nl-BE"/>
        </w:rPr>
        <w:t xml:space="preserve">). Het resultaat van deze stemming voor Ghana was het volgende: 27 stemmen voor, 9 tegen en 1 onthouding. Dit betekent dat de GROENEN, GUE, 55Star en minstens 2 S&amp;D tegen gestemd hebben. Het interimair akkoord van economisch partnerschap van Ghana kan binnen kort in werking treden, opdat de handelsvoorkeuren van Ghana niet meer zouden gebaseerd zijn op Cotonou of MAR1528, maar op </w:t>
      </w:r>
      <w:proofErr w:type="gramStart"/>
      <w:r>
        <w:rPr>
          <w:sz w:val="28"/>
          <w:szCs w:val="28"/>
          <w:lang w:val="nl-BE"/>
        </w:rPr>
        <w:t>het</w:t>
      </w:r>
      <w:proofErr w:type="gramEnd"/>
      <w:r>
        <w:rPr>
          <w:sz w:val="28"/>
          <w:szCs w:val="28"/>
          <w:lang w:val="nl-BE"/>
        </w:rPr>
        <w:t xml:space="preserve"> </w:t>
      </w:r>
      <w:proofErr w:type="spellStart"/>
      <w:r>
        <w:rPr>
          <w:sz w:val="28"/>
          <w:szCs w:val="28"/>
          <w:lang w:val="nl-BE"/>
        </w:rPr>
        <w:t>iEPA</w:t>
      </w:r>
      <w:proofErr w:type="spellEnd"/>
      <w:r>
        <w:rPr>
          <w:sz w:val="28"/>
          <w:szCs w:val="28"/>
          <w:lang w:val="nl-BE"/>
        </w:rPr>
        <w:t xml:space="preserve"> zelf. Dat betekent echter niet dat Ghana weldra het akkoord zal beginnen in werking stellen. </w:t>
      </w:r>
      <w:r>
        <w:rPr>
          <w:i/>
          <w:sz w:val="28"/>
          <w:szCs w:val="28"/>
          <w:lang w:val="nl-BE"/>
        </w:rPr>
        <w:t xml:space="preserve">Meer weten </w:t>
      </w:r>
      <w:hyperlink r:id="rId10" w:history="1">
        <w:r w:rsidRPr="00804153">
          <w:rPr>
            <w:rStyle w:val="Lienhypertexte"/>
            <w:rFonts w:cs="Calibri"/>
            <w:color w:val="386EFF"/>
            <w:sz w:val="28"/>
            <w:szCs w:val="28"/>
            <w:lang w:val="nl-BE"/>
          </w:rPr>
          <w:t xml:space="preserve">Pour en </w:t>
        </w:r>
        <w:proofErr w:type="spellStart"/>
        <w:r w:rsidRPr="00804153">
          <w:rPr>
            <w:rStyle w:val="Lienhypertexte"/>
            <w:rFonts w:cs="Calibri"/>
            <w:color w:val="386EFF"/>
            <w:sz w:val="28"/>
            <w:szCs w:val="28"/>
            <w:lang w:val="nl-BE"/>
          </w:rPr>
          <w:t>savoir</w:t>
        </w:r>
        <w:proofErr w:type="spellEnd"/>
        <w:r w:rsidRPr="00804153">
          <w:rPr>
            <w:rStyle w:val="Lienhypertexte"/>
            <w:rFonts w:cs="Calibri"/>
            <w:color w:val="386EFF"/>
            <w:sz w:val="28"/>
            <w:szCs w:val="28"/>
            <w:lang w:val="nl-BE"/>
          </w:rPr>
          <w:t xml:space="preserve"> plus</w:t>
        </w:r>
      </w:hyperlink>
    </w:p>
    <w:p w:rsidR="00804153" w:rsidRDefault="00804153" w:rsidP="00804153">
      <w:pPr>
        <w:rPr>
          <w:sz w:val="28"/>
          <w:szCs w:val="28"/>
          <w:lang w:val="nl-BE"/>
        </w:rPr>
      </w:pPr>
    </w:p>
    <w:p w:rsidR="00804153" w:rsidRPr="00804153" w:rsidRDefault="00804153" w:rsidP="00804153">
      <w:pPr>
        <w:rPr>
          <w:b/>
          <w:color w:val="00B050"/>
          <w:sz w:val="28"/>
          <w:szCs w:val="28"/>
          <w:lang w:val="nl-BE"/>
        </w:rPr>
      </w:pPr>
      <w:r w:rsidRPr="00804153">
        <w:rPr>
          <w:b/>
          <w:color w:val="00B050"/>
          <w:sz w:val="28"/>
          <w:szCs w:val="28"/>
          <w:lang w:val="nl-BE"/>
        </w:rPr>
        <w:t>DE STEM VAN HET NETWERK</w:t>
      </w:r>
    </w:p>
    <w:p w:rsidR="00804153" w:rsidRDefault="00804153" w:rsidP="00804153">
      <w:pPr>
        <w:rPr>
          <w:b/>
          <w:sz w:val="28"/>
          <w:szCs w:val="28"/>
          <w:lang w:val="nl-BE"/>
        </w:rPr>
      </w:pPr>
    </w:p>
    <w:p w:rsidR="00804153" w:rsidRDefault="00804153" w:rsidP="00804153">
      <w:pPr>
        <w:rPr>
          <w:b/>
          <w:sz w:val="28"/>
          <w:szCs w:val="28"/>
          <w:lang w:val="nl-BE"/>
        </w:rPr>
      </w:pPr>
      <w:r>
        <w:rPr>
          <w:b/>
          <w:sz w:val="28"/>
          <w:szCs w:val="28"/>
          <w:lang w:val="nl-BE"/>
        </w:rPr>
        <w:t>Jaarlijkse algemene vergadering te Rome – november 2016</w:t>
      </w:r>
    </w:p>
    <w:p w:rsidR="00804153" w:rsidRDefault="00804153" w:rsidP="00804153">
      <w:pPr>
        <w:rPr>
          <w:sz w:val="28"/>
          <w:szCs w:val="28"/>
          <w:lang w:val="nl-BE"/>
        </w:rPr>
      </w:pPr>
      <w:r>
        <w:rPr>
          <w:sz w:val="28"/>
          <w:szCs w:val="28"/>
          <w:lang w:val="nl-BE"/>
        </w:rPr>
        <w:t xml:space="preserve">De jaarlijkse algemene vergadering van AEFJN had plaats op 11 november 2016 op het Generalaat van de Witte Paters te Rome. Een grote groep contactpersonen van AEFJN kwamen bijeen voor het voorstellen van jaarrapporten en relevante kwesties betreffende het leven van het netwerk. De vergadering begon met het verwelkomen van de deelnemers en het openingsgebed door </w:t>
      </w:r>
      <w:proofErr w:type="spellStart"/>
      <w:r>
        <w:rPr>
          <w:sz w:val="28"/>
          <w:szCs w:val="28"/>
          <w:lang w:val="nl-BE"/>
        </w:rPr>
        <w:t>Arlindo</w:t>
      </w:r>
      <w:proofErr w:type="spellEnd"/>
      <w:r>
        <w:rPr>
          <w:sz w:val="28"/>
          <w:szCs w:val="28"/>
          <w:lang w:val="nl-BE"/>
        </w:rPr>
        <w:t xml:space="preserve"> </w:t>
      </w:r>
      <w:proofErr w:type="spellStart"/>
      <w:r>
        <w:rPr>
          <w:sz w:val="28"/>
          <w:szCs w:val="28"/>
          <w:lang w:val="nl-BE"/>
        </w:rPr>
        <w:t>Pinto</w:t>
      </w:r>
      <w:proofErr w:type="spellEnd"/>
      <w:r>
        <w:rPr>
          <w:sz w:val="28"/>
          <w:szCs w:val="28"/>
          <w:lang w:val="nl-BE"/>
        </w:rPr>
        <w:t xml:space="preserve">. P. José </w:t>
      </w:r>
      <w:proofErr w:type="spellStart"/>
      <w:r>
        <w:rPr>
          <w:sz w:val="28"/>
          <w:szCs w:val="28"/>
          <w:lang w:val="nl-BE"/>
        </w:rPr>
        <w:t>Ignacio</w:t>
      </w:r>
      <w:proofErr w:type="spellEnd"/>
      <w:r>
        <w:rPr>
          <w:sz w:val="28"/>
          <w:szCs w:val="28"/>
          <w:lang w:val="nl-BE"/>
        </w:rPr>
        <w:t xml:space="preserve"> </w:t>
      </w:r>
      <w:proofErr w:type="spellStart"/>
      <w:r>
        <w:rPr>
          <w:sz w:val="28"/>
          <w:szCs w:val="28"/>
          <w:lang w:val="nl-BE"/>
        </w:rPr>
        <w:t>Garcia</w:t>
      </w:r>
      <w:proofErr w:type="spellEnd"/>
      <w:r>
        <w:rPr>
          <w:sz w:val="28"/>
          <w:szCs w:val="28"/>
          <w:lang w:val="nl-BE"/>
        </w:rPr>
        <w:t xml:space="preserve">, coördinator van het sociaal apostolaat van de </w:t>
      </w:r>
      <w:proofErr w:type="spellStart"/>
      <w:r>
        <w:rPr>
          <w:sz w:val="28"/>
          <w:szCs w:val="28"/>
          <w:lang w:val="nl-BE"/>
        </w:rPr>
        <w:t>Jezuieten</w:t>
      </w:r>
      <w:proofErr w:type="spellEnd"/>
      <w:r>
        <w:rPr>
          <w:sz w:val="28"/>
          <w:szCs w:val="28"/>
          <w:lang w:val="nl-BE"/>
        </w:rPr>
        <w:t xml:space="preserve"> in Europa, hield de conferentie “Zich keren naar het Zuiden: onze werkmethode”. Hij belichtte ons pleidooiwerk en hoe dit begrijpen op verschillende niveaus: het opzoeken en begrijpen van de realiteit in Afrika, de relevantie van de communicatie, hoe personen die in ons werk geïnteresseerd zijn gemakkelijker bereiken, de specifieke taak van het pleidooiwerk, en hoe ons netwerk verstevigen.</w:t>
      </w:r>
    </w:p>
    <w:p w:rsidR="00804153" w:rsidRDefault="00804153" w:rsidP="00804153">
      <w:pPr>
        <w:rPr>
          <w:i/>
          <w:sz w:val="28"/>
          <w:szCs w:val="28"/>
          <w:lang w:val="nl-BE"/>
        </w:rPr>
      </w:pPr>
      <w:r>
        <w:rPr>
          <w:i/>
          <w:sz w:val="28"/>
          <w:szCs w:val="28"/>
          <w:lang w:val="nl-BE"/>
        </w:rPr>
        <w:t xml:space="preserve">Meer weten </w:t>
      </w:r>
      <w:hyperlink r:id="rId11" w:history="1">
        <w:r>
          <w:rPr>
            <w:rStyle w:val="Lienhypertexte"/>
            <w:rFonts w:cs="Calibri"/>
            <w:color w:val="386EFF"/>
            <w:sz w:val="28"/>
            <w:szCs w:val="28"/>
            <w:lang w:val="fr-FR"/>
          </w:rPr>
          <w:t>En savoir plus</w:t>
        </w:r>
      </w:hyperlink>
    </w:p>
    <w:p w:rsidR="00804153" w:rsidRDefault="00804153" w:rsidP="00804153">
      <w:pPr>
        <w:rPr>
          <w:b/>
          <w:sz w:val="28"/>
          <w:szCs w:val="28"/>
          <w:lang w:val="nl-BE"/>
        </w:rPr>
      </w:pPr>
    </w:p>
    <w:p w:rsidR="00804153" w:rsidRDefault="00804153" w:rsidP="00804153">
      <w:pPr>
        <w:rPr>
          <w:b/>
          <w:sz w:val="28"/>
          <w:szCs w:val="28"/>
          <w:lang w:val="nl-BE"/>
        </w:rPr>
      </w:pPr>
      <w:r>
        <w:rPr>
          <w:b/>
          <w:sz w:val="28"/>
          <w:szCs w:val="28"/>
          <w:lang w:val="nl-BE"/>
        </w:rPr>
        <w:t>Bijeenkomst van de antenne AEFJN-UK in november 2016</w:t>
      </w:r>
    </w:p>
    <w:p w:rsidR="00804153" w:rsidRDefault="00804153" w:rsidP="00804153">
      <w:pPr>
        <w:rPr>
          <w:sz w:val="28"/>
          <w:szCs w:val="28"/>
          <w:lang w:val="nl-BE"/>
        </w:rPr>
      </w:pPr>
      <w:r>
        <w:rPr>
          <w:sz w:val="28"/>
          <w:szCs w:val="28"/>
          <w:lang w:val="nl-BE"/>
        </w:rPr>
        <w:t xml:space="preserve">Een groot aantal leden van de antennes AEFJN-UK kwam bijeen op 2 en 3 november in Wistaston Hall, </w:t>
      </w:r>
      <w:proofErr w:type="spellStart"/>
      <w:r>
        <w:rPr>
          <w:sz w:val="28"/>
          <w:szCs w:val="28"/>
          <w:lang w:val="nl-BE"/>
        </w:rPr>
        <w:t>Crewe</w:t>
      </w:r>
      <w:proofErr w:type="spellEnd"/>
      <w:r>
        <w:rPr>
          <w:sz w:val="28"/>
          <w:szCs w:val="28"/>
          <w:lang w:val="nl-BE"/>
        </w:rPr>
        <w:t>. Op de eerste dag, werd het inleidend gebed gevolgd door een korte zitting waar de visie en de zending van AEFJN werd uitgelegd als enige organisatie in de katholieke Kerk die zich concentreert op de economische kwesties betreffende de relaties tussen Afrika en de Europese Unie en haar lidstaten. Vervolgens hebben zij gediscussieerd over hun verwachtingen en hun zorgen betreffende de toekomst van de Britse Antenne, de maatregelen die ze konden nemen om beter samen te werken en de lasten van de administratie te delen.</w:t>
      </w:r>
    </w:p>
    <w:p w:rsidR="00804153" w:rsidRDefault="00804153" w:rsidP="00804153">
      <w:pPr>
        <w:widowControl w:val="0"/>
        <w:autoSpaceDE w:val="0"/>
        <w:autoSpaceDN w:val="0"/>
        <w:adjustRightInd w:val="0"/>
        <w:spacing w:after="0" w:line="240" w:lineRule="auto"/>
        <w:rPr>
          <w:rFonts w:cs="Calibri"/>
          <w:sz w:val="28"/>
          <w:szCs w:val="28"/>
          <w:lang w:val="fr-FR"/>
        </w:rPr>
      </w:pPr>
      <w:proofErr w:type="spellStart"/>
      <w:r w:rsidRPr="00804153">
        <w:rPr>
          <w:i/>
          <w:sz w:val="28"/>
          <w:szCs w:val="28"/>
        </w:rPr>
        <w:t>Meer</w:t>
      </w:r>
      <w:proofErr w:type="spellEnd"/>
      <w:r w:rsidRPr="00804153">
        <w:rPr>
          <w:i/>
          <w:sz w:val="28"/>
          <w:szCs w:val="28"/>
        </w:rPr>
        <w:t xml:space="preserve"> </w:t>
      </w:r>
      <w:proofErr w:type="spellStart"/>
      <w:proofErr w:type="gramStart"/>
      <w:r w:rsidRPr="00804153">
        <w:rPr>
          <w:i/>
          <w:sz w:val="28"/>
          <w:szCs w:val="28"/>
        </w:rPr>
        <w:t>weten</w:t>
      </w:r>
      <w:proofErr w:type="spellEnd"/>
      <w:r w:rsidRPr="00804153">
        <w:rPr>
          <w:i/>
          <w:sz w:val="28"/>
          <w:szCs w:val="28"/>
        </w:rPr>
        <w:t xml:space="preserve"> </w:t>
      </w:r>
      <w:r>
        <w:rPr>
          <w:rFonts w:cs="Calibri"/>
          <w:sz w:val="28"/>
          <w:szCs w:val="28"/>
          <w:lang w:val="fr-FR"/>
        </w:rPr>
        <w:t>.</w:t>
      </w:r>
      <w:proofErr w:type="gramEnd"/>
      <w:r>
        <w:rPr>
          <w:rFonts w:cs="Calibri"/>
          <w:sz w:val="28"/>
          <w:szCs w:val="28"/>
          <w:lang w:val="fr-FR"/>
        </w:rPr>
        <w:t xml:space="preserve">   </w:t>
      </w:r>
      <w:hyperlink r:id="rId12" w:history="1">
        <w:r>
          <w:rPr>
            <w:rStyle w:val="Lienhypertexte"/>
            <w:rFonts w:cs="Calibri"/>
            <w:color w:val="386EFF"/>
            <w:sz w:val="28"/>
            <w:szCs w:val="28"/>
            <w:lang w:val="fr-FR"/>
          </w:rPr>
          <w:t>Pour en savoir plus</w:t>
        </w:r>
      </w:hyperlink>
    </w:p>
    <w:p w:rsidR="00804153" w:rsidRPr="00804153" w:rsidRDefault="00804153" w:rsidP="00804153">
      <w:pPr>
        <w:rPr>
          <w:sz w:val="28"/>
          <w:szCs w:val="28"/>
        </w:rPr>
      </w:pPr>
    </w:p>
    <w:p w:rsidR="00804153" w:rsidRDefault="00804153" w:rsidP="00804153">
      <w:pPr>
        <w:widowControl w:val="0"/>
        <w:autoSpaceDE w:val="0"/>
        <w:autoSpaceDN w:val="0"/>
        <w:adjustRightInd w:val="0"/>
        <w:spacing w:after="0" w:line="240" w:lineRule="auto"/>
        <w:rPr>
          <w:rFonts w:cs="Calibri"/>
          <w:sz w:val="28"/>
          <w:szCs w:val="28"/>
          <w:lang w:val="fr-FR"/>
        </w:rPr>
      </w:pPr>
      <w:r>
        <w:rPr>
          <w:rFonts w:cs="Calibri"/>
          <w:b/>
          <w:bCs/>
          <w:sz w:val="28"/>
          <w:szCs w:val="28"/>
          <w:lang w:val="fr-FR"/>
        </w:rPr>
        <w:t> </w:t>
      </w:r>
    </w:p>
    <w:p w:rsidR="00804153" w:rsidRPr="00804153" w:rsidRDefault="00804153" w:rsidP="00804153">
      <w:pPr>
        <w:widowControl w:val="0"/>
        <w:autoSpaceDE w:val="0"/>
        <w:autoSpaceDN w:val="0"/>
        <w:adjustRightInd w:val="0"/>
        <w:spacing w:after="0" w:line="240" w:lineRule="auto"/>
        <w:rPr>
          <w:rFonts w:cs="Calibri"/>
          <w:b/>
          <w:bCs/>
          <w:sz w:val="28"/>
          <w:szCs w:val="28"/>
          <w:lang w:val="en-US"/>
        </w:rPr>
      </w:pPr>
      <w:r w:rsidRPr="00804153">
        <w:rPr>
          <w:rFonts w:cs="Calibri"/>
          <w:b/>
          <w:bCs/>
          <w:sz w:val="28"/>
          <w:szCs w:val="28"/>
          <w:lang w:val="en-US"/>
        </w:rPr>
        <w:t>VIDEOS</w:t>
      </w:r>
    </w:p>
    <w:p w:rsidR="00804153" w:rsidRPr="00804153" w:rsidRDefault="00804153" w:rsidP="00804153">
      <w:pPr>
        <w:widowControl w:val="0"/>
        <w:autoSpaceDE w:val="0"/>
        <w:autoSpaceDN w:val="0"/>
        <w:adjustRightInd w:val="0"/>
        <w:spacing w:after="0" w:line="240" w:lineRule="auto"/>
        <w:rPr>
          <w:rFonts w:cs="Calibri"/>
          <w:sz w:val="28"/>
          <w:szCs w:val="28"/>
          <w:lang w:val="en-US"/>
        </w:rPr>
      </w:pPr>
    </w:p>
    <w:p w:rsidR="00804153" w:rsidRPr="00804153" w:rsidRDefault="00804153" w:rsidP="00804153">
      <w:pPr>
        <w:widowControl w:val="0"/>
        <w:autoSpaceDE w:val="0"/>
        <w:autoSpaceDN w:val="0"/>
        <w:adjustRightInd w:val="0"/>
        <w:spacing w:after="0" w:line="240" w:lineRule="auto"/>
        <w:rPr>
          <w:rFonts w:cs="Calibri"/>
          <w:sz w:val="28"/>
          <w:szCs w:val="28"/>
          <w:lang w:val="en-US"/>
        </w:rPr>
      </w:pPr>
      <w:r w:rsidRPr="00804153">
        <w:rPr>
          <w:rFonts w:cs="Calibri"/>
          <w:sz w:val="28"/>
          <w:szCs w:val="28"/>
          <w:lang w:val="en-US"/>
        </w:rPr>
        <w:t> </w:t>
      </w:r>
      <w:hyperlink r:id="rId13" w:history="1">
        <w:r w:rsidRPr="00804153">
          <w:rPr>
            <w:rStyle w:val="Lienhypertexte"/>
            <w:rFonts w:cs="Calibri"/>
            <w:b/>
            <w:bCs/>
            <w:color w:val="386EFF"/>
            <w:sz w:val="28"/>
            <w:szCs w:val="28"/>
            <w:lang w:val="en-US"/>
          </w:rPr>
          <w:t>Action for Food sovereignty and climate justice</w:t>
        </w:r>
      </w:hyperlink>
    </w:p>
    <w:p w:rsidR="00804153" w:rsidRPr="00804153" w:rsidRDefault="00804153" w:rsidP="00804153">
      <w:pPr>
        <w:widowControl w:val="0"/>
        <w:autoSpaceDE w:val="0"/>
        <w:autoSpaceDN w:val="0"/>
        <w:adjustRightInd w:val="0"/>
        <w:spacing w:after="0" w:line="240" w:lineRule="auto"/>
        <w:rPr>
          <w:rFonts w:cs="Calibri"/>
          <w:b/>
          <w:bCs/>
          <w:sz w:val="28"/>
          <w:szCs w:val="28"/>
          <w:lang w:val="en-US"/>
        </w:rPr>
      </w:pPr>
    </w:p>
    <w:p w:rsidR="00804153" w:rsidRPr="00804153" w:rsidRDefault="00804153" w:rsidP="00804153">
      <w:pPr>
        <w:widowControl w:val="0"/>
        <w:autoSpaceDE w:val="0"/>
        <w:autoSpaceDN w:val="0"/>
        <w:adjustRightInd w:val="0"/>
        <w:spacing w:after="0" w:line="240" w:lineRule="auto"/>
        <w:rPr>
          <w:rFonts w:cs="Calibri"/>
          <w:sz w:val="28"/>
          <w:szCs w:val="28"/>
          <w:lang w:val="nl-BE"/>
        </w:rPr>
      </w:pPr>
      <w:r w:rsidRPr="00804153">
        <w:rPr>
          <w:rFonts w:cs="Calibri"/>
          <w:b/>
          <w:bCs/>
          <w:sz w:val="28"/>
          <w:szCs w:val="28"/>
          <w:lang w:val="en-US"/>
        </w:rPr>
        <w:t> </w:t>
      </w:r>
      <w:hyperlink r:id="rId14" w:history="1">
        <w:r w:rsidRPr="00804153">
          <w:rPr>
            <w:rStyle w:val="Lienhypertexte"/>
            <w:rFonts w:cs="Calibri"/>
            <w:b/>
            <w:bCs/>
            <w:color w:val="386EFF"/>
            <w:sz w:val="28"/>
            <w:szCs w:val="28"/>
            <w:lang w:val="en-US"/>
          </w:rPr>
          <w:t xml:space="preserve">Stop dumping death in Africa! </w:t>
        </w:r>
        <w:r w:rsidRPr="00804153">
          <w:rPr>
            <w:rStyle w:val="Lienhypertexte"/>
            <w:rFonts w:cs="Calibri"/>
            <w:b/>
            <w:bCs/>
            <w:color w:val="386EFF"/>
            <w:sz w:val="28"/>
            <w:szCs w:val="28"/>
            <w:lang w:val="nl-BE"/>
          </w:rPr>
          <w:t xml:space="preserve">Stop </w:t>
        </w:r>
        <w:proofErr w:type="spellStart"/>
        <w:r w:rsidRPr="00804153">
          <w:rPr>
            <w:rStyle w:val="Lienhypertexte"/>
            <w:rFonts w:cs="Calibri"/>
            <w:b/>
            <w:bCs/>
            <w:color w:val="386EFF"/>
            <w:sz w:val="28"/>
            <w:szCs w:val="28"/>
            <w:lang w:val="nl-BE"/>
          </w:rPr>
          <w:t>your</w:t>
        </w:r>
        <w:proofErr w:type="spellEnd"/>
        <w:r w:rsidRPr="00804153">
          <w:rPr>
            <w:rStyle w:val="Lienhypertexte"/>
            <w:rFonts w:cs="Calibri"/>
            <w:b/>
            <w:bCs/>
            <w:color w:val="386EFF"/>
            <w:sz w:val="28"/>
            <w:szCs w:val="28"/>
            <w:lang w:val="nl-BE"/>
          </w:rPr>
          <w:t xml:space="preserve"> </w:t>
        </w:r>
        <w:proofErr w:type="spellStart"/>
        <w:r w:rsidRPr="00804153">
          <w:rPr>
            <w:rStyle w:val="Lienhypertexte"/>
            <w:rFonts w:cs="Calibri"/>
            <w:b/>
            <w:bCs/>
            <w:color w:val="386EFF"/>
            <w:sz w:val="28"/>
            <w:szCs w:val="28"/>
            <w:lang w:val="nl-BE"/>
          </w:rPr>
          <w:t>toxic</w:t>
        </w:r>
        <w:proofErr w:type="spellEnd"/>
        <w:r w:rsidRPr="00804153">
          <w:rPr>
            <w:rStyle w:val="Lienhypertexte"/>
            <w:rFonts w:cs="Calibri"/>
            <w:b/>
            <w:bCs/>
            <w:color w:val="386EFF"/>
            <w:sz w:val="28"/>
            <w:szCs w:val="28"/>
            <w:lang w:val="nl-BE"/>
          </w:rPr>
          <w:t xml:space="preserve"> </w:t>
        </w:r>
        <w:proofErr w:type="spellStart"/>
        <w:r w:rsidRPr="00804153">
          <w:rPr>
            <w:rStyle w:val="Lienhypertexte"/>
            <w:rFonts w:cs="Calibri"/>
            <w:b/>
            <w:bCs/>
            <w:color w:val="386EFF"/>
            <w:sz w:val="28"/>
            <w:szCs w:val="28"/>
            <w:lang w:val="nl-BE"/>
          </w:rPr>
          <w:t>trade</w:t>
        </w:r>
        <w:proofErr w:type="spellEnd"/>
        <w:r w:rsidRPr="00804153">
          <w:rPr>
            <w:rStyle w:val="Lienhypertexte"/>
            <w:rFonts w:cs="Calibri"/>
            <w:b/>
            <w:bCs/>
            <w:color w:val="386EFF"/>
            <w:sz w:val="28"/>
            <w:szCs w:val="28"/>
            <w:lang w:val="nl-BE"/>
          </w:rPr>
          <w:t>!</w:t>
        </w:r>
      </w:hyperlink>
    </w:p>
    <w:p w:rsidR="00804153" w:rsidRPr="00804153" w:rsidRDefault="00804153" w:rsidP="00804153">
      <w:pPr>
        <w:widowControl w:val="0"/>
        <w:autoSpaceDE w:val="0"/>
        <w:autoSpaceDN w:val="0"/>
        <w:adjustRightInd w:val="0"/>
        <w:spacing w:after="0" w:line="240" w:lineRule="auto"/>
        <w:rPr>
          <w:rFonts w:cs="Calibri"/>
          <w:b/>
          <w:bCs/>
          <w:sz w:val="28"/>
          <w:szCs w:val="28"/>
          <w:lang w:val="nl-BE"/>
        </w:rPr>
      </w:pPr>
      <w:r w:rsidRPr="00804153">
        <w:rPr>
          <w:rFonts w:cs="Calibri"/>
          <w:b/>
          <w:bCs/>
          <w:sz w:val="28"/>
          <w:szCs w:val="28"/>
          <w:lang w:val="nl-BE"/>
        </w:rPr>
        <w:t> </w:t>
      </w:r>
    </w:p>
    <w:p w:rsidR="00804153" w:rsidRPr="00804153" w:rsidRDefault="00804153" w:rsidP="00804153">
      <w:pPr>
        <w:widowControl w:val="0"/>
        <w:autoSpaceDE w:val="0"/>
        <w:autoSpaceDN w:val="0"/>
        <w:adjustRightInd w:val="0"/>
        <w:spacing w:after="0" w:line="240" w:lineRule="auto"/>
        <w:rPr>
          <w:rFonts w:cs="Calibri"/>
          <w:sz w:val="28"/>
          <w:szCs w:val="28"/>
          <w:lang w:val="nl-BE"/>
        </w:rPr>
      </w:pPr>
      <w:r w:rsidRPr="00804153">
        <w:rPr>
          <w:rFonts w:cs="Calibri"/>
          <w:b/>
          <w:bCs/>
          <w:sz w:val="28"/>
          <w:szCs w:val="28"/>
          <w:lang w:val="nl-BE"/>
        </w:rPr>
        <w:t xml:space="preserve">Bezoek onze Twitter rekening om meer </w:t>
      </w:r>
      <w:proofErr w:type="spellStart"/>
      <w:r w:rsidRPr="00804153">
        <w:rPr>
          <w:rFonts w:cs="Calibri"/>
          <w:b/>
          <w:bCs/>
          <w:sz w:val="28"/>
          <w:szCs w:val="28"/>
          <w:lang w:val="nl-BE"/>
        </w:rPr>
        <w:t>videos</w:t>
      </w:r>
      <w:proofErr w:type="spellEnd"/>
      <w:r w:rsidRPr="00804153">
        <w:rPr>
          <w:rFonts w:cs="Calibri"/>
          <w:b/>
          <w:bCs/>
          <w:sz w:val="28"/>
          <w:szCs w:val="28"/>
          <w:lang w:val="nl-BE"/>
        </w:rPr>
        <w:t xml:space="preserve"> te kunnen </w:t>
      </w:r>
      <w:proofErr w:type="gramStart"/>
      <w:r w:rsidRPr="00804153">
        <w:rPr>
          <w:rFonts w:cs="Calibri"/>
          <w:b/>
          <w:bCs/>
          <w:sz w:val="28"/>
          <w:szCs w:val="28"/>
          <w:lang w:val="nl-BE"/>
        </w:rPr>
        <w:t>kijken !</w:t>
      </w:r>
      <w:proofErr w:type="gramEnd"/>
      <w:r w:rsidRPr="00804153">
        <w:rPr>
          <w:rFonts w:cs="Calibri"/>
          <w:b/>
          <w:bCs/>
          <w:sz w:val="28"/>
          <w:szCs w:val="28"/>
          <w:lang w:val="nl-BE"/>
        </w:rPr>
        <w:t>!</w:t>
      </w:r>
    </w:p>
    <w:p w:rsidR="00C36A50" w:rsidRPr="00804153" w:rsidRDefault="00C36A50">
      <w:pPr>
        <w:rPr>
          <w:lang w:val="nl-BE"/>
        </w:rPr>
      </w:pPr>
    </w:p>
    <w:sectPr w:rsidR="00C36A50" w:rsidRPr="00804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53"/>
    <w:rsid w:val="00804153"/>
    <w:rsid w:val="00A8305B"/>
    <w:rsid w:val="00C36A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5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04153"/>
    <w:rPr>
      <w:color w:val="0000FF" w:themeColor="hyperlink"/>
      <w:u w:val="single"/>
    </w:rPr>
  </w:style>
  <w:style w:type="paragraph" w:styleId="Textedebulles">
    <w:name w:val="Balloon Text"/>
    <w:basedOn w:val="Normal"/>
    <w:link w:val="TextedebullesCar"/>
    <w:uiPriority w:val="99"/>
    <w:semiHidden/>
    <w:unhideWhenUsed/>
    <w:rsid w:val="008041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4153"/>
    <w:rPr>
      <w:rFonts w:ascii="Tahoma" w:eastAsia="Calibri" w:hAnsi="Tahoma" w:cs="Tahoma"/>
      <w:sz w:val="16"/>
      <w:szCs w:val="16"/>
    </w:rPr>
  </w:style>
  <w:style w:type="character" w:styleId="Lienhypertextesuivivisit">
    <w:name w:val="FollowedHyperlink"/>
    <w:basedOn w:val="Policepardfaut"/>
    <w:uiPriority w:val="99"/>
    <w:semiHidden/>
    <w:unhideWhenUsed/>
    <w:rsid w:val="008041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5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04153"/>
    <w:rPr>
      <w:color w:val="0000FF" w:themeColor="hyperlink"/>
      <w:u w:val="single"/>
    </w:rPr>
  </w:style>
  <w:style w:type="paragraph" w:styleId="Textedebulles">
    <w:name w:val="Balloon Text"/>
    <w:basedOn w:val="Normal"/>
    <w:link w:val="TextedebullesCar"/>
    <w:uiPriority w:val="99"/>
    <w:semiHidden/>
    <w:unhideWhenUsed/>
    <w:rsid w:val="008041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4153"/>
    <w:rPr>
      <w:rFonts w:ascii="Tahoma" w:eastAsia="Calibri" w:hAnsi="Tahoma" w:cs="Tahoma"/>
      <w:sz w:val="16"/>
      <w:szCs w:val="16"/>
    </w:rPr>
  </w:style>
  <w:style w:type="character" w:styleId="Lienhypertextesuivivisit">
    <w:name w:val="FollowedHyperlink"/>
    <w:basedOn w:val="Policepardfaut"/>
    <w:uiPriority w:val="99"/>
    <w:semiHidden/>
    <w:unhideWhenUsed/>
    <w:rsid w:val="008041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fjn.org/index.php/materiel-410/articles/id-1612-les-fonds-vatour-encerclent-lafrique.html" TargetMode="External"/><Relationship Id="rId13" Type="http://schemas.openxmlformats.org/officeDocument/2006/relationships/hyperlink" Target="http://singlehumanity.com/2016/11/13/food-sovereignty-climate-justice-video/" TargetMode="External"/><Relationship Id="rId3" Type="http://schemas.openxmlformats.org/officeDocument/2006/relationships/settings" Target="settings.xml"/><Relationship Id="rId7" Type="http://schemas.openxmlformats.org/officeDocument/2006/relationships/hyperlink" Target="http://www.aefjn.be/index.php/materiel-392/articles/id-1611-liberalisation-du-commerce-et-obstacles-non-commerciaux.html" TargetMode="External"/><Relationship Id="rId12" Type="http://schemas.openxmlformats.org/officeDocument/2006/relationships/hyperlink" Target="http://www.aefjn.be/index.php/voix-du-reseau/articles/id-1611-reunion-de-lantenne-aefjn-uk-en-novembre-2016.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efjn.org/index.php/spiritualite/articles/id-1612-laudato-si-un-an-plus-tard.html" TargetMode="External"/><Relationship Id="rId11" Type="http://schemas.openxmlformats.org/officeDocument/2006/relationships/hyperlink" Target="http://www.aefjn.be/index.php/voix-du-reseau/articles/assemblee-generale-annuelle-rome-novembre-2016.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aefjn.be/index.php/action-393/articles/id-1611-accord-interimaire-de-partenariat-economique-entre-le-ghana-et-le-parlement-europeen.html" TargetMode="External"/><Relationship Id="rId4" Type="http://schemas.openxmlformats.org/officeDocument/2006/relationships/webSettings" Target="webSettings.xml"/><Relationship Id="rId9" Type="http://schemas.openxmlformats.org/officeDocument/2006/relationships/hyperlink" Target="http://www.aefjn.be/index.php/souverainete-alimentaire-443/articles/id-1611-cop22-lafrique-pourrait-etre-le-grenier-du-monde.html" TargetMode="External"/><Relationship Id="rId14" Type="http://schemas.openxmlformats.org/officeDocument/2006/relationships/hyperlink" Target="http://singlehumanity.com/2016/11/06/stop-toxic-trade-dumping-afri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1166</Words>
  <Characters>6415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2016-12-16T16:43:00Z</dcterms:created>
  <dcterms:modified xsi:type="dcterms:W3CDTF">2016-12-16T16:55:00Z</dcterms:modified>
</cp:coreProperties>
</file>