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shd w:val="clear" w:color="auto" w:fill="FFFFFF"/>
        <w:tblCellMar>
          <w:left w:w="0" w:type="dxa"/>
          <w:right w:w="0" w:type="dxa"/>
        </w:tblCellMar>
        <w:tblLook w:val="04A0" w:firstRow="1" w:lastRow="0" w:firstColumn="1" w:lastColumn="0" w:noHBand="0" w:noVBand="1"/>
      </w:tblPr>
      <w:tblGrid>
        <w:gridCol w:w="3870"/>
        <w:gridCol w:w="4914"/>
        <w:gridCol w:w="216"/>
      </w:tblGrid>
      <w:tr w:rsidR="002C04E2" w:rsidTr="002C04E2">
        <w:trPr>
          <w:jc w:val="center"/>
        </w:trPr>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85858"/>
                <w:sz w:val="17"/>
                <w:szCs w:val="17"/>
              </w:rPr>
              <w:drawing>
                <wp:anchor distT="0" distB="0" distL="114300" distR="114300" simplePos="0" relativeHeight="251659264" behindDoc="0" locked="0" layoutInCell="1" allowOverlap="1" wp14:anchorId="6AB4F4F4" wp14:editId="3B2637B1">
                  <wp:simplePos x="0" y="0"/>
                  <wp:positionH relativeFrom="column">
                    <wp:posOffset>168910</wp:posOffset>
                  </wp:positionH>
                  <wp:positionV relativeFrom="paragraph">
                    <wp:posOffset>186055</wp:posOffset>
                  </wp:positionV>
                  <wp:extent cx="2447925" cy="697230"/>
                  <wp:effectExtent l="0" t="0" r="9525" b="7620"/>
                  <wp:wrapSquare wrapText="bothSides"/>
                  <wp:docPr id="9" name="Image 9" descr="http://aefjn.org/wp-content/uploads/2016/12/header-400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efjn.org/wp-content/uploads/2016/12/header-400x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color w:val="585858"/>
                <w:sz w:val="20"/>
                <w:szCs w:val="20"/>
              </w:rPr>
              <w:t> </w:t>
            </w:r>
          </w:p>
        </w:tc>
        <w:tc>
          <w:tcPr>
            <w:tcW w:w="8280" w:type="dxa"/>
            <w:shd w:val="clear" w:color="auto" w:fill="FFFFFF"/>
            <w:hideMark/>
          </w:tcPr>
          <w:p w:rsidR="002C04E2" w:rsidRDefault="002C04E2">
            <w:pPr>
              <w:pStyle w:val="Titre1"/>
              <w:rPr>
                <w:rFonts w:eastAsia="Times New Roman"/>
                <w:color w:val="585858"/>
              </w:rPr>
            </w:pPr>
          </w:p>
          <w:p w:rsidR="002C04E2" w:rsidRDefault="002C04E2">
            <w:pPr>
              <w:pStyle w:val="Titre1"/>
              <w:rPr>
                <w:rFonts w:eastAsia="Times New Roman"/>
                <w:color w:val="585858"/>
              </w:rPr>
            </w:pPr>
            <w:r>
              <w:rPr>
                <w:rFonts w:eastAsia="Times New Roman"/>
                <w:color w:val="585858"/>
              </w:rPr>
              <w:t xml:space="preserve">          Echos N° 44 FÉVRIER 2018</w:t>
            </w:r>
          </w:p>
        </w:tc>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LE COÛT HUMAIN ET ENVIRONNEMENTAL DE L'OPTION BIO-ÉNERGIE DE L'UE - UNE PERSPECTIVE</w:t>
                  </w:r>
                </w:p>
                <w:tbl>
                  <w:tblPr>
                    <w:tblpPr w:leftFromText="45" w:rightFromText="45" w:vertAnchor="text"/>
                    <w:tblW w:w="0" w:type="auto"/>
                    <w:tblCellMar>
                      <w:left w:w="0" w:type="dxa"/>
                      <w:right w:w="0" w:type="dxa"/>
                    </w:tblCellMar>
                    <w:tblLook w:val="04A0" w:firstRow="1" w:lastRow="0" w:firstColumn="1" w:lastColumn="0" w:noHBand="0" w:noVBand="1"/>
                  </w:tblPr>
                  <w:tblGrid>
                    <w:gridCol w:w="3390"/>
                    <w:gridCol w:w="360"/>
                  </w:tblGrid>
                  <w:tr w:rsidR="002C04E2">
                    <w:tc>
                      <w:tcPr>
                        <w:tcW w:w="0" w:type="auto"/>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143125" cy="1704975"/>
                              <wp:effectExtent l="0" t="0" r="9525" b="9525"/>
                              <wp:docPr id="8" name="Image 8" descr="LE COÛT HUMAIN ET ENVIRONNEMENTAL DE L'OPTION BIO-ÉNERGIE DE L'UE - UNE PERSPECTIV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ÛT HUMAIN ET ENVIRONNEMENTAL DE L'OPTION BIO-ÉNERGIE DE L'UE - UNE PERSPECTIV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inline>
                          </w:drawing>
                        </w: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pStyle w:val="NormalWeb"/>
                    <w:rPr>
                      <w:rFonts w:ascii="Helvetica" w:hAnsi="Helvetica" w:cs="Helvetica"/>
                      <w:sz w:val="20"/>
                      <w:szCs w:val="20"/>
                    </w:rPr>
                  </w:pPr>
                  <w:r>
                    <w:rPr>
                      <w:rFonts w:ascii="Helvetica" w:hAnsi="Helvetica" w:cs="Helvetica"/>
                      <w:sz w:val="20"/>
                      <w:szCs w:val="20"/>
                    </w:rPr>
                    <w:t xml:space="preserve">Le 07 février 2018, AEFJN et quelques organisations de la société civile en Europe ont lancé un </w:t>
                  </w:r>
                  <w:hyperlink r:id="rId8" w:history="1">
                    <w:r>
                      <w:rPr>
                        <w:rStyle w:val="Lienhypertexte"/>
                        <w:b/>
                        <w:bCs/>
                        <w:sz w:val="20"/>
                        <w:szCs w:val="20"/>
                      </w:rPr>
                      <w:t>nouveau rapport</w:t>
                    </w:r>
                  </w:hyperlink>
                  <w:r>
                    <w:rPr>
                      <w:rFonts w:ascii="Helvetica" w:hAnsi="Helvetica" w:cs="Helvetica"/>
                      <w:sz w:val="20"/>
                      <w:szCs w:val="20"/>
                    </w:rPr>
                    <w:t xml:space="preserve"> qui radiographie les conséquences socio-économiques du modèle de consommation mondiale croissante d'huile de palme. Mon attention dans le rapport porte en particulier sur le modèle de consommation…</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9" w:history="1">
                          <w:r w:rsidR="002C04E2">
                            <w:rPr>
                              <w:rStyle w:val="Lienhypertexte"/>
                              <w:rFonts w:eastAsia="Times New Roman"/>
                              <w:color w:val="585858"/>
                              <w:sz w:val="21"/>
                              <w:szCs w:val="21"/>
                            </w:rPr>
                            <w:t>Lire la suite</w:t>
                          </w:r>
                        </w:hyperlink>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2C04E2">
              <w:trPr>
                <w:jc w:val="center"/>
              </w:trPr>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PLAIDOYER SUR LE COMMERCE, UN LONG CHEMIN</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270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2C04E2" w:rsidRDefault="002C04E2">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1714500" cy="1143000"/>
                              <wp:effectExtent l="0" t="0" r="0" b="0"/>
                              <wp:docPr id="7" name="Image 7" descr="PLAIDOYER SUR LE COMMERCE, UN LONG CHEM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IDOYER SUR LE COMMERCE, UN LONG CHEMI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rsidR="002C04E2" w:rsidRDefault="002C04E2">
                  <w:pPr>
                    <w:pStyle w:val="NormalWeb"/>
                    <w:rPr>
                      <w:rFonts w:ascii="Helvetica" w:hAnsi="Helvetica" w:cs="Helvetica"/>
                      <w:sz w:val="20"/>
                      <w:szCs w:val="20"/>
                    </w:rPr>
                  </w:pPr>
                  <w:r>
                    <w:rPr>
                      <w:rFonts w:ascii="Helvetica" w:hAnsi="Helvetica" w:cs="Helvetica"/>
                      <w:sz w:val="20"/>
                      <w:szCs w:val="20"/>
                    </w:rPr>
                    <w:t xml:space="preserve">L'Accord de </w:t>
                  </w:r>
                  <w:proofErr w:type="gramStart"/>
                  <w:r>
                    <w:rPr>
                      <w:rFonts w:ascii="Helvetica" w:hAnsi="Helvetica" w:cs="Helvetica"/>
                      <w:sz w:val="20"/>
                      <w:szCs w:val="20"/>
                    </w:rPr>
                    <w:t>Cotonou</w:t>
                  </w:r>
                  <w:proofErr w:type="gramEnd"/>
                  <w:r>
                    <w:rPr>
                      <w:rFonts w:ascii="Helvetica" w:hAnsi="Helvetica" w:cs="Helvetica"/>
                      <w:sz w:val="20"/>
                      <w:szCs w:val="20"/>
                    </w:rPr>
                    <w:fldChar w:fldCharType="begin"/>
                  </w:r>
                  <w:r>
                    <w:rPr>
                      <w:rFonts w:ascii="Helvetica" w:hAnsi="Helvetica" w:cs="Helvetica"/>
                      <w:sz w:val="20"/>
                      <w:szCs w:val="20"/>
                    </w:rPr>
                    <w:instrText xml:space="preserve"> HYPERLINK "" \l "_ftn1" </w:instrText>
                  </w:r>
                  <w:r>
                    <w:rPr>
                      <w:rFonts w:ascii="Helvetica" w:hAnsi="Helvetica" w:cs="Helvetica"/>
                      <w:sz w:val="20"/>
                      <w:szCs w:val="20"/>
                    </w:rPr>
                    <w:fldChar w:fldCharType="separate"/>
                  </w:r>
                  <w:r>
                    <w:rPr>
                      <w:rStyle w:val="Lienhypertexte"/>
                      <w:sz w:val="20"/>
                      <w:szCs w:val="20"/>
                    </w:rPr>
                    <w:t>[1]</w:t>
                  </w:r>
                  <w:r>
                    <w:rPr>
                      <w:rFonts w:ascii="Helvetica" w:hAnsi="Helvetica" w:cs="Helvetica"/>
                      <w:sz w:val="20"/>
                      <w:szCs w:val="20"/>
                    </w:rPr>
                    <w:fldChar w:fldCharType="end"/>
                  </w:r>
                  <w:r>
                    <w:rPr>
                      <w:rFonts w:ascii="Helvetica" w:hAnsi="Helvetica" w:cs="Helvetica"/>
                      <w:sz w:val="20"/>
                      <w:szCs w:val="20"/>
                    </w:rPr>
                    <w:t xml:space="preserve"> est le cadre global pour les relations de l'Union Européenne (UE) avec les pays d'Afrique, des Caraïbes et du Pacifique (ACP) et il repose sur trois piliers: la coopération au développement, la coopération économique et commerciale et la dimension politique. Cet accord…</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12" w:history="1">
                          <w:r w:rsidR="002C04E2">
                            <w:rPr>
                              <w:rStyle w:val="Lienhypertexte"/>
                              <w:rFonts w:eastAsia="Times New Roman"/>
                              <w:color w:val="585858"/>
                              <w:sz w:val="21"/>
                              <w:szCs w:val="21"/>
                            </w:rPr>
                            <w:t>Lire la suite</w:t>
                          </w:r>
                        </w:hyperlink>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jc w:val="cente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LE FRANC CFA POUR LES NULS</w:t>
                  </w:r>
                </w:p>
                <w:tbl>
                  <w:tblPr>
                    <w:tblpPr w:leftFromText="45" w:rightFromText="45" w:vertAnchor="text"/>
                    <w:tblW w:w="0" w:type="auto"/>
                    <w:tblCellMar>
                      <w:left w:w="0" w:type="dxa"/>
                      <w:right w:w="0" w:type="dxa"/>
                    </w:tblCellMar>
                    <w:tblLook w:val="04A0" w:firstRow="1" w:lastRow="0" w:firstColumn="1" w:lastColumn="0" w:noHBand="0" w:noVBand="1"/>
                  </w:tblPr>
                  <w:tblGrid>
                    <w:gridCol w:w="2640"/>
                    <w:gridCol w:w="360"/>
                  </w:tblGrid>
                  <w:tr w:rsidR="002C04E2">
                    <w:tc>
                      <w:tcPr>
                        <w:tcW w:w="0" w:type="auto"/>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1666875" cy="1066800"/>
                              <wp:effectExtent l="0" t="0" r="9525" b="0"/>
                              <wp:docPr id="6" name="Image 6" descr="LE FRANC CFA POUR LES NU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FRANC CFA POUR LES NUL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pStyle w:val="NormalWeb"/>
                    <w:rPr>
                      <w:rFonts w:ascii="Helvetica" w:hAnsi="Helvetica" w:cs="Helvetica"/>
                      <w:sz w:val="20"/>
                      <w:szCs w:val="20"/>
                    </w:rPr>
                  </w:pPr>
                  <w:r>
                    <w:rPr>
                      <w:rFonts w:ascii="Helvetica" w:hAnsi="Helvetica" w:cs="Helvetica"/>
                      <w:sz w:val="20"/>
                      <w:szCs w:val="20"/>
                    </w:rPr>
                    <w:t xml:space="preserve">Cet article a pour but de présenter le système connu sous le nom de «Franc CFA» tel qu'il se présente aujourd'hui, avec ses avantages et ses inconvénients. Il ne fera pas l'histoire de ce montage financier déjà ancien ni une analyse politique du </w:t>
                  </w:r>
                  <w:proofErr w:type="gramStart"/>
                  <w:r>
                    <w:rPr>
                      <w:rFonts w:ascii="Helvetica" w:hAnsi="Helvetica" w:cs="Helvetica"/>
                      <w:sz w:val="20"/>
                      <w:szCs w:val="20"/>
                    </w:rPr>
                    <w:t>système;</w:t>
                  </w:r>
                  <w:proofErr w:type="gramEnd"/>
                  <w:r>
                    <w:rPr>
                      <w:rFonts w:ascii="Helvetica" w:hAnsi="Helvetica" w:cs="Helvetica"/>
                      <w:sz w:val="20"/>
                      <w:szCs w:val="20"/>
                    </w:rPr>
                    <w:t xml:space="preserve"> on peut facilement…</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15" w:history="1">
                          <w:r w:rsidR="002C04E2">
                            <w:rPr>
                              <w:rStyle w:val="Lienhypertexte"/>
                              <w:rFonts w:eastAsia="Times New Roman"/>
                              <w:color w:val="585858"/>
                              <w:sz w:val="21"/>
                              <w:szCs w:val="21"/>
                            </w:rPr>
                            <w:t>Lire la suite</w:t>
                          </w:r>
                        </w:hyperlink>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2C04E2">
              <w:trPr>
                <w:jc w:val="center"/>
              </w:trPr>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 xml:space="preserve">LES PRINCIPLES DIRECTEURS NE SUFFISENT PAS </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396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2C04E2" w:rsidRDefault="002C04E2">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676400"/>
                              <wp:effectExtent l="0" t="0" r="0" b="0"/>
                              <wp:docPr id="5" name="Image 5" descr="Les principes directeurs ne suffisent pa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principes directeurs ne suffisent pa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rsidR="002C04E2" w:rsidRDefault="002C04E2">
                  <w:pPr>
                    <w:pStyle w:val="NormalWeb"/>
                    <w:rPr>
                      <w:rFonts w:ascii="Helvetica" w:hAnsi="Helvetica" w:cs="Helvetica"/>
                      <w:sz w:val="20"/>
                      <w:szCs w:val="20"/>
                    </w:rPr>
                  </w:pPr>
                  <w:r>
                    <w:rPr>
                      <w:rFonts w:ascii="Helvetica" w:hAnsi="Helvetica" w:cs="Helvetica"/>
                      <w:sz w:val="20"/>
                      <w:szCs w:val="20"/>
                    </w:rPr>
                    <w:t>Dans les premières étapes vers un traité contraignant sur les entreprises et les droits humains, les Etats membres de l'UE et la Commission Européenne n'ont pas insisté. Au contraire, l'absence d'une position définie de l'UE et les obstacles posés par les délégations nationales européennes ont montré non seulement…</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18" w:history="1">
                          <w:r w:rsidR="002C04E2">
                            <w:rPr>
                              <w:rStyle w:val="Lienhypertexte"/>
                              <w:rFonts w:eastAsia="Times New Roman"/>
                              <w:color w:val="585858"/>
                              <w:sz w:val="21"/>
                              <w:szCs w:val="21"/>
                            </w:rPr>
                            <w:t>Lire la suite</w:t>
                          </w:r>
                        </w:hyperlink>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jc w:val="cente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ANTENNE DE NAIROBI, KENYA</w:t>
                  </w:r>
                </w:p>
                <w:tbl>
                  <w:tblPr>
                    <w:tblpPr w:leftFromText="45" w:rightFromText="45" w:vertAnchor="text"/>
                    <w:tblW w:w="0" w:type="auto"/>
                    <w:tblCellMar>
                      <w:left w:w="0" w:type="dxa"/>
                      <w:right w:w="0" w:type="dxa"/>
                    </w:tblCellMar>
                    <w:tblLook w:val="04A0" w:firstRow="1" w:lastRow="0" w:firstColumn="1" w:lastColumn="0" w:noHBand="0" w:noVBand="1"/>
                  </w:tblPr>
                  <w:tblGrid>
                    <w:gridCol w:w="3960"/>
                    <w:gridCol w:w="360"/>
                  </w:tblGrid>
                  <w:tr w:rsidR="002C04E2">
                    <w:tc>
                      <w:tcPr>
                        <w:tcW w:w="0" w:type="auto"/>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600200"/>
                              <wp:effectExtent l="0" t="0" r="0" b="0"/>
                              <wp:docPr id="4" name="Image 4" descr="Antenne de Nairobi, Keny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enne de Nairobi, Keny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pStyle w:val="NormalWeb"/>
                    <w:jc w:val="both"/>
                    <w:rPr>
                      <w:rFonts w:ascii="Helvetica" w:hAnsi="Helvetica" w:cs="Helvetica"/>
                      <w:sz w:val="20"/>
                      <w:szCs w:val="20"/>
                    </w:rPr>
                  </w:pPr>
                  <w:r>
                    <w:rPr>
                      <w:rFonts w:ascii="Calibri" w:hAnsi="Calibri" w:cs="Calibri"/>
                      <w:color w:val="000000"/>
                      <w:sz w:val="20"/>
                      <w:szCs w:val="20"/>
                    </w:rPr>
                    <w:t xml:space="preserve">Une nouvelle antenne d'AEFJN a été lancée à Nairobi le 16 février 2018. Elle a été précédée d'un atelier de deux jours (15-16 février) sur le plaidoyer et AEFJN. L'antenne est ancrée par les Conférences des </w:t>
                  </w:r>
                  <w:proofErr w:type="spellStart"/>
                  <w:r>
                    <w:rPr>
                      <w:rFonts w:ascii="Calibri" w:hAnsi="Calibri" w:cs="Calibri"/>
                      <w:color w:val="000000"/>
                      <w:sz w:val="20"/>
                      <w:szCs w:val="20"/>
                    </w:rPr>
                    <w:t>supérieur.e.s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majeur.e.s</w:t>
                  </w:r>
                  <w:proofErr w:type="spellEnd"/>
                  <w:r>
                    <w:rPr>
                      <w:rFonts w:ascii="Calibri" w:hAnsi="Calibri" w:cs="Calibri"/>
                      <w:color w:val="000000"/>
                      <w:sz w:val="20"/>
                      <w:szCs w:val="20"/>
                    </w:rPr>
                    <w:t xml:space="preserve"> du Kenya.…</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21" w:history="1">
                          <w:r w:rsidR="002C04E2">
                            <w:rPr>
                              <w:rStyle w:val="Lienhypertexte"/>
                              <w:rFonts w:eastAsia="Times New Roman"/>
                              <w:color w:val="585858"/>
                              <w:sz w:val="21"/>
                              <w:szCs w:val="21"/>
                            </w:rPr>
                            <w:t>Lire la suite</w:t>
                          </w:r>
                        </w:hyperlink>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2C04E2">
              <w:trPr>
                <w:jc w:val="center"/>
              </w:trPr>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2C04E2" w:rsidRDefault="002C04E2">
                  <w:pPr>
                    <w:pStyle w:val="Titre1"/>
                    <w:rPr>
                      <w:rFonts w:eastAsia="Times New Roman"/>
                      <w:color w:val="585858"/>
                    </w:rPr>
                  </w:pPr>
                  <w:r>
                    <w:rPr>
                      <w:rFonts w:eastAsia="Times New Roman"/>
                      <w:color w:val="585858"/>
                    </w:rPr>
                    <w:t xml:space="preserve">ANTENNE DE LA RÉPUBLIQUE CENTRAFRICAINE </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3960"/>
                  </w:tblGrid>
                  <w:tr w:rsidR="002C04E2">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2C04E2" w:rsidRDefault="002C04E2">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419225"/>
                              <wp:effectExtent l="0" t="0" r="0" b="9525"/>
                              <wp:docPr id="3" name="Image 3" descr="Antenne de la République centrafrica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nne de la République centrafricain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tc>
                  </w:tr>
                </w:tbl>
                <w:p w:rsidR="002C04E2" w:rsidRDefault="002C04E2">
                  <w:pPr>
                    <w:pStyle w:val="NormalWeb"/>
                    <w:jc w:val="both"/>
                    <w:rPr>
                      <w:rFonts w:ascii="Helvetica" w:hAnsi="Helvetica" w:cs="Helvetica"/>
                      <w:sz w:val="20"/>
                      <w:szCs w:val="20"/>
                    </w:rPr>
                  </w:pPr>
                  <w:r>
                    <w:rPr>
                      <w:rFonts w:ascii="Calibri" w:hAnsi="Calibri" w:cs="Calibri"/>
                      <w:color w:val="000000"/>
                      <w:sz w:val="20"/>
                      <w:szCs w:val="20"/>
                    </w:rPr>
                    <w:t>Le directeur de la nouvelle antenne de la République centrafricaine a partagé avec nous une nouvelle étape dans la croissance de l'antenne. Le statut de l'antenne a été préparé et lu aux parties prenantes pour comprendre la vision et la…</w:t>
                  </w:r>
                </w:p>
                <w:tbl>
                  <w:tblPr>
                    <w:tblpPr w:leftFromText="45" w:rightFromText="45" w:vertAnchor="text"/>
                    <w:tblW w:w="0" w:type="auto"/>
                    <w:tblLook w:val="04A0" w:firstRow="1" w:lastRow="0" w:firstColumn="1" w:lastColumn="0" w:noHBand="0" w:noVBand="1"/>
                  </w:tblPr>
                  <w:tblGrid>
                    <w:gridCol w:w="1483"/>
                  </w:tblGrid>
                  <w:tr w:rsidR="002C04E2">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2C04E2" w:rsidRDefault="00B12051">
                        <w:pPr>
                          <w:spacing w:after="60" w:line="360" w:lineRule="atLeast"/>
                          <w:ind w:right="60"/>
                          <w:jc w:val="center"/>
                          <w:rPr>
                            <w:rFonts w:ascii="Helvetica" w:eastAsia="Times New Roman" w:hAnsi="Helvetica" w:cs="Helvetica"/>
                            <w:color w:val="585858"/>
                            <w:sz w:val="20"/>
                            <w:szCs w:val="20"/>
                          </w:rPr>
                        </w:pPr>
                        <w:hyperlink r:id="rId24" w:history="1">
                          <w:r w:rsidR="002C04E2">
                            <w:rPr>
                              <w:rStyle w:val="Lienhypertexte"/>
                              <w:rFonts w:eastAsia="Times New Roman"/>
                              <w:color w:val="585858"/>
                              <w:sz w:val="21"/>
                              <w:szCs w:val="21"/>
                            </w:rPr>
                            <w:t>Lire la suite</w:t>
                          </w:r>
                        </w:hyperlink>
                        <w:bookmarkStart w:id="0" w:name="_GoBack"/>
                        <w:bookmarkEnd w:id="0"/>
                      </w:p>
                    </w:tc>
                  </w:tr>
                </w:tbl>
                <w:p w:rsidR="002C04E2" w:rsidRDefault="002C04E2">
                  <w:pPr>
                    <w:rPr>
                      <w:rFonts w:eastAsia="Times New Roman"/>
                      <w:sz w:val="20"/>
                      <w:szCs w:val="20"/>
                    </w:rPr>
                  </w:pPr>
                </w:p>
              </w:tc>
              <w:tc>
                <w:tcPr>
                  <w:tcW w:w="360" w:type="dxa"/>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2C04E2" w:rsidRDefault="002C04E2">
            <w:pPr>
              <w:jc w:val="center"/>
              <w:rPr>
                <w:rFonts w:eastAsia="Times New Roman"/>
                <w:sz w:val="20"/>
                <w:szCs w:val="20"/>
              </w:rPr>
            </w:pPr>
          </w:p>
        </w:tc>
      </w:tr>
      <w:tr w:rsidR="002C04E2" w:rsidTr="002C04E2">
        <w:trPr>
          <w:trHeight w:val="180"/>
          <w:jc w:val="center"/>
        </w:trPr>
        <w:tc>
          <w:tcPr>
            <w:tcW w:w="0" w:type="auto"/>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p w:rsidR="002C04E2" w:rsidRDefault="002C04E2">
            <w:pPr>
              <w:rPr>
                <w:rFonts w:eastAsia="Times New Roman"/>
                <w:sz w:val="20"/>
                <w:szCs w:val="20"/>
              </w:rPr>
            </w:pPr>
          </w:p>
          <w:p w:rsidR="002C04E2" w:rsidRDefault="002C04E2">
            <w:pPr>
              <w:rPr>
                <w:rFonts w:eastAsia="Times New Roman"/>
                <w:sz w:val="20"/>
                <w:szCs w:val="20"/>
              </w:rPr>
            </w:pPr>
          </w:p>
          <w:p w:rsidR="002C04E2" w:rsidRDefault="002C04E2">
            <w:pPr>
              <w:rPr>
                <w:rFonts w:eastAsia="Times New Roman"/>
                <w:sz w:val="20"/>
                <w:szCs w:val="20"/>
              </w:rPr>
            </w:pPr>
          </w:p>
        </w:tc>
      </w:tr>
      <w:tr w:rsidR="002C04E2" w:rsidTr="002C04E2">
        <w:trPr>
          <w:jc w:val="center"/>
        </w:trPr>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2C04E2" w:rsidRDefault="002C04E2">
            <w:pPr>
              <w:pStyle w:val="Titre1"/>
              <w:rPr>
                <w:rFonts w:eastAsia="Times New Roman"/>
                <w:color w:val="585858"/>
              </w:rPr>
            </w:pPr>
            <w:r>
              <w:rPr>
                <w:rFonts w:eastAsia="Times New Roman"/>
                <w:color w:val="585858"/>
              </w:rPr>
              <w:t xml:space="preserve">PETITION </w:t>
            </w:r>
          </w:p>
          <w:p w:rsidR="002C04E2" w:rsidRDefault="002C04E2">
            <w:pPr>
              <w:pStyle w:val="NormalWeb"/>
              <w:rPr>
                <w:rFonts w:ascii="Helvetica" w:hAnsi="Helvetica" w:cs="Helvetica"/>
                <w:sz w:val="20"/>
                <w:szCs w:val="20"/>
              </w:rPr>
            </w:pPr>
            <w:r>
              <w:rPr>
                <w:rFonts w:ascii="Helvetica" w:hAnsi="Helvetica" w:cs="Helvetica"/>
                <w:sz w:val="20"/>
                <w:szCs w:val="20"/>
              </w:rPr>
              <w:t xml:space="preserve">La politique de l'UE en matière de commerce et d'investissement doit être démocratisée </w:t>
            </w:r>
            <w:r>
              <w:rPr>
                <w:rFonts w:ascii="Helvetica" w:hAnsi="Helvetica" w:cs="Helvetica"/>
                <w:sz w:val="20"/>
                <w:szCs w:val="20"/>
              </w:rPr>
              <w:br/>
              <w:t>Aux gouvernements des États membres de l'UE, à la Commission Européenne, aux Membres du Parlement Européen, aux Membres des Parlements des États membres</w:t>
            </w:r>
            <w:r>
              <w:rPr>
                <w:rFonts w:ascii="Helvetica" w:hAnsi="Helvetica" w:cs="Helvetica"/>
                <w:sz w:val="20"/>
                <w:szCs w:val="20"/>
              </w:rPr>
              <w:br/>
              <w:t>Les organisations de la société civile, les syndicats, les groupes d'agriculteurs, les entrepreneurs et les maires appellent à une refonte fondamentale du processus décisionnel en matière de politique commerciale pour les accords en cours et futurs de coopération et d'investissement de l'UE.</w:t>
            </w:r>
          </w:p>
          <w:p w:rsidR="002C04E2" w:rsidRDefault="002C04E2">
            <w:pPr>
              <w:pStyle w:val="NormalWeb"/>
              <w:rPr>
                <w:rFonts w:ascii="Helvetica" w:hAnsi="Helvetica" w:cs="Helvetica"/>
                <w:sz w:val="20"/>
                <w:szCs w:val="20"/>
              </w:rPr>
            </w:pPr>
            <w:r>
              <w:rPr>
                <w:rFonts w:ascii="Helvetica" w:hAnsi="Helvetica" w:cs="Helvetica"/>
                <w:sz w:val="20"/>
                <w:szCs w:val="20"/>
              </w:rPr>
              <w:t xml:space="preserve">VEUILLEZ SIGNER LA LETTRE </w:t>
            </w:r>
            <w:proofErr w:type="gramStart"/>
            <w:r>
              <w:rPr>
                <w:rFonts w:ascii="Helvetica" w:hAnsi="Helvetica" w:cs="Helvetica"/>
                <w:sz w:val="20"/>
                <w:szCs w:val="20"/>
              </w:rPr>
              <w:t>ICI:</w:t>
            </w:r>
            <w:proofErr w:type="gramEnd"/>
            <w:r>
              <w:rPr>
                <w:rFonts w:ascii="Helvetica" w:hAnsi="Helvetica" w:cs="Helvetica"/>
                <w:sz w:val="20"/>
                <w:szCs w:val="20"/>
              </w:rPr>
              <w:t xml:space="preserve"> </w:t>
            </w:r>
            <w:hyperlink r:id="rId25" w:history="1">
              <w:r>
                <w:rPr>
                  <w:rStyle w:val="Lienhypertexte"/>
                  <w:b/>
                  <w:bCs/>
                  <w:sz w:val="20"/>
                  <w:szCs w:val="20"/>
                </w:rPr>
                <w:t>http://www.s2bnetwork.org/sign-democratisation-lette</w:t>
              </w:r>
            </w:hyperlink>
            <w:r>
              <w:rPr>
                <w:rFonts w:ascii="Helvetica" w:hAnsi="Helvetica" w:cs="Helvetica"/>
                <w:sz w:val="20"/>
                <w:szCs w:val="20"/>
              </w:rPr>
              <w:t>r  </w:t>
            </w:r>
          </w:p>
        </w:tc>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2C04E2" w:rsidRDefault="002C04E2">
            <w:pPr>
              <w:pStyle w:val="Titre1"/>
              <w:rPr>
                <w:rFonts w:eastAsia="Times New Roman"/>
                <w:color w:val="585858"/>
              </w:rPr>
            </w:pPr>
            <w:r>
              <w:rPr>
                <w:rFonts w:eastAsia="Times New Roman"/>
                <w:color w:val="585858"/>
              </w:rPr>
              <w:t>VIDEOS</w:t>
            </w:r>
          </w:p>
          <w:p w:rsidR="002C04E2" w:rsidRDefault="002C04E2">
            <w:pPr>
              <w:pStyle w:val="NormalWeb"/>
              <w:rPr>
                <w:rFonts w:ascii="Helvetica" w:hAnsi="Helvetica" w:cs="Helvetica"/>
                <w:sz w:val="20"/>
                <w:szCs w:val="20"/>
              </w:rPr>
            </w:pPr>
            <w:r>
              <w:rPr>
                <w:rFonts w:ascii="Helvetica" w:hAnsi="Helvetica" w:cs="Helvetica"/>
                <w:sz w:val="20"/>
                <w:szCs w:val="20"/>
              </w:rPr>
              <w:t xml:space="preserve">L'huile de palme est devenue omniprésente dans nos produits de consommations. </w:t>
            </w:r>
            <w:hyperlink r:id="rId26" w:history="1">
              <w:r>
                <w:rPr>
                  <w:rStyle w:val="Lienhypertexte"/>
                  <w:b/>
                  <w:bCs/>
                  <w:sz w:val="20"/>
                  <w:szCs w:val="20"/>
                </w:rPr>
                <w:t>Http://www.facebook.com/justicepaix/videos/2061718310729216/</w:t>
              </w:r>
            </w:hyperlink>
          </w:p>
          <w:p w:rsidR="002C04E2" w:rsidRDefault="002C04E2">
            <w:pPr>
              <w:pStyle w:val="NormalWeb"/>
              <w:rPr>
                <w:rFonts w:ascii="Helvetica" w:hAnsi="Helvetica" w:cs="Helvetica"/>
                <w:sz w:val="20"/>
                <w:szCs w:val="20"/>
              </w:rPr>
            </w:pPr>
            <w:r>
              <w:rPr>
                <w:rFonts w:ascii="Helvetica" w:hAnsi="Helvetica" w:cs="Helvetica"/>
                <w:sz w:val="20"/>
                <w:szCs w:val="20"/>
              </w:rPr>
              <w:t>Dossier : Le mythe d'huile de palme durable. Les limites des initiatives volontaires</w:t>
            </w:r>
          </w:p>
        </w:tc>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tc>
      </w:tr>
    </w:tbl>
    <w:p w:rsidR="002C04E2" w:rsidRDefault="002C04E2" w:rsidP="002C04E2">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2C04E2" w:rsidTr="002C04E2">
        <w:trPr>
          <w:trHeight w:val="180"/>
          <w:jc w:val="center"/>
        </w:trPr>
        <w:tc>
          <w:tcPr>
            <w:tcW w:w="0" w:type="auto"/>
            <w:gridSpan w:val="3"/>
            <w:shd w:val="clear" w:color="auto" w:fill="FFFFFF"/>
            <w:vAlign w:val="center"/>
            <w:hideMark/>
          </w:tcPr>
          <w:p w:rsidR="002C04E2" w:rsidRDefault="002C04E2">
            <w:pPr>
              <w:rPr>
                <w:rFonts w:eastAsia="Times New Roman"/>
                <w:sz w:val="20"/>
                <w:szCs w:val="20"/>
              </w:rPr>
            </w:pPr>
          </w:p>
        </w:tc>
      </w:tr>
      <w:tr w:rsidR="002C04E2" w:rsidTr="002C04E2">
        <w:trPr>
          <w:jc w:val="center"/>
        </w:trPr>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280"/>
            </w:tblGrid>
            <w:tr w:rsidR="002C04E2">
              <w:trPr>
                <w:jc w:val="center"/>
              </w:trPr>
              <w:tc>
                <w:tcPr>
                  <w:tcW w:w="8280" w:type="dxa"/>
                  <w:hideMark/>
                </w:tcPr>
                <w:tbl>
                  <w:tblPr>
                    <w:tblpPr w:vertAnchor="text"/>
                    <w:tblW w:w="0" w:type="auto"/>
                    <w:tblCellMar>
                      <w:left w:w="0" w:type="dxa"/>
                      <w:right w:w="0" w:type="dxa"/>
                    </w:tblCellMar>
                    <w:tblLook w:val="04A0" w:firstRow="1" w:lastRow="0" w:firstColumn="1" w:lastColumn="0" w:noHBand="0" w:noVBand="1"/>
                  </w:tblPr>
                  <w:tblGrid>
                    <w:gridCol w:w="5400"/>
                  </w:tblGrid>
                  <w:tr w:rsidR="002C04E2" w:rsidRPr="00B12051">
                    <w:tc>
                      <w:tcPr>
                        <w:tcW w:w="5400" w:type="dxa"/>
                        <w:hideMark/>
                      </w:tcPr>
                      <w:p w:rsidR="002C04E2" w:rsidRPr="002C04E2" w:rsidRDefault="002C04E2">
                        <w:pPr>
                          <w:spacing w:line="270" w:lineRule="atLeast"/>
                          <w:rPr>
                            <w:rFonts w:ascii="Helvetica" w:eastAsia="Times New Roman" w:hAnsi="Helvetica" w:cs="Helvetica"/>
                            <w:color w:val="585858"/>
                            <w:sz w:val="17"/>
                            <w:szCs w:val="17"/>
                            <w:lang w:val="en-US"/>
                          </w:rPr>
                        </w:pPr>
                        <w:r w:rsidRPr="002C04E2">
                          <w:rPr>
                            <w:rFonts w:ascii="Helvetica" w:eastAsia="Times New Roman" w:hAnsi="Helvetica" w:cs="Helvetica"/>
                            <w:color w:val="585858"/>
                            <w:sz w:val="17"/>
                            <w:szCs w:val="17"/>
                            <w:lang w:val="en-US"/>
                          </w:rPr>
                          <w:t>174, rue Joseph II, B – 1000 Brussels | Belgium Tel. +32.(0)2.234.68.10 | Fax +32.(0)2.231.14.13</w:t>
                        </w:r>
                      </w:p>
                      <w:p w:rsidR="002C04E2" w:rsidRPr="002C04E2" w:rsidRDefault="002C04E2">
                        <w:pPr>
                          <w:spacing w:line="270" w:lineRule="atLeast"/>
                          <w:rPr>
                            <w:rFonts w:ascii="Helvetica" w:eastAsia="Times New Roman" w:hAnsi="Helvetica" w:cs="Helvetica"/>
                            <w:color w:val="585858"/>
                            <w:sz w:val="17"/>
                            <w:szCs w:val="17"/>
                            <w:lang w:val="en-US"/>
                          </w:rPr>
                        </w:pPr>
                        <w:r w:rsidRPr="002C04E2">
                          <w:rPr>
                            <w:rFonts w:ascii="Helvetica" w:eastAsia="Times New Roman" w:hAnsi="Helvetica" w:cs="Helvetica"/>
                            <w:color w:val="585858"/>
                            <w:sz w:val="17"/>
                            <w:szCs w:val="17"/>
                            <w:lang w:val="en-US"/>
                          </w:rPr>
                          <w:t>© 2018 AEFJN | Africa Europe Faith and Justice Network, All rights reserved</w:t>
                        </w:r>
                      </w:p>
                    </w:tc>
                  </w:tr>
                </w:tbl>
                <w:tbl>
                  <w:tblPr>
                    <w:tblpPr w:vertAnchor="text" w:tblpXSpec="right" w:tblpYSpec="center"/>
                    <w:tblW w:w="0" w:type="auto"/>
                    <w:tblCellMar>
                      <w:left w:w="0" w:type="dxa"/>
                      <w:right w:w="0" w:type="dxa"/>
                    </w:tblCellMar>
                    <w:tblLook w:val="04A0" w:firstRow="1" w:lastRow="0" w:firstColumn="1" w:lastColumn="0" w:noHBand="0" w:noVBand="1"/>
                  </w:tblPr>
                  <w:tblGrid>
                    <w:gridCol w:w="2520"/>
                  </w:tblGrid>
                  <w:tr w:rsidR="002C04E2">
                    <w:tc>
                      <w:tcPr>
                        <w:tcW w:w="2520" w:type="dxa"/>
                        <w:hideMark/>
                      </w:tcPr>
                      <w:p w:rsidR="002C04E2" w:rsidRDefault="002C04E2">
                        <w:pPr>
                          <w:spacing w:line="270" w:lineRule="atLeast"/>
                          <w:jc w:val="right"/>
                          <w:rPr>
                            <w:rFonts w:ascii="Helvetica" w:eastAsia="Times New Roman" w:hAnsi="Helvetica" w:cs="Helvetica"/>
                            <w:color w:val="585858"/>
                            <w:sz w:val="17"/>
                            <w:szCs w:val="17"/>
                          </w:rPr>
                        </w:pPr>
                        <w:r>
                          <w:rPr>
                            <w:rFonts w:ascii="Helvetica" w:eastAsia="Times New Roman" w:hAnsi="Helvetica" w:cs="Helvetica"/>
                            <w:noProof/>
                            <w:color w:val="5CA8CD"/>
                            <w:sz w:val="17"/>
                            <w:szCs w:val="17"/>
                          </w:rPr>
                          <w:drawing>
                            <wp:inline distT="0" distB="0" distL="0" distR="0">
                              <wp:extent cx="304800" cy="304800"/>
                              <wp:effectExtent l="0" t="0" r="0" b="0"/>
                              <wp:docPr id="2" name="Image 2" descr="http://aefjn.org/wp-content/uploads/mailster/templates/template1/img/social/dark/twitter.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fjn.org/wp-content/uploads/mailster/templates/template1/img/social/dark/twitter.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Helvetica" w:eastAsia="Times New Roman" w:hAnsi="Helvetica" w:cs="Helvetica"/>
                            <w:noProof/>
                            <w:color w:val="5CA8CD"/>
                            <w:sz w:val="17"/>
                            <w:szCs w:val="17"/>
                          </w:rPr>
                          <w:drawing>
                            <wp:inline distT="0" distB="0" distL="0" distR="0">
                              <wp:extent cx="304800" cy="304800"/>
                              <wp:effectExtent l="0" t="0" r="0" b="0"/>
                              <wp:docPr id="1" name="Image 1" descr="http://aefjn.org/wp-content/uploads/mailster/templates/template1/img/social/dark/facebook.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efjn.org/wp-content/uploads/mailster/templates/template1/img/social/dark/facebook.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2C04E2" w:rsidRDefault="002C04E2">
                  <w:pPr>
                    <w:rPr>
                      <w:rFonts w:eastAsia="Times New Roman"/>
                      <w:sz w:val="20"/>
                      <w:szCs w:val="20"/>
                    </w:rPr>
                  </w:pPr>
                </w:p>
              </w:tc>
            </w:tr>
          </w:tbl>
          <w:p w:rsidR="002C04E2" w:rsidRDefault="002C04E2">
            <w:pPr>
              <w:jc w:val="center"/>
              <w:rPr>
                <w:rFonts w:eastAsia="Times New Roman"/>
                <w:sz w:val="20"/>
                <w:szCs w:val="20"/>
              </w:rPr>
            </w:pPr>
          </w:p>
        </w:tc>
        <w:tc>
          <w:tcPr>
            <w:tcW w:w="360" w:type="dxa"/>
            <w:shd w:val="clear" w:color="auto" w:fill="FFFFFF"/>
            <w:vAlign w:val="center"/>
            <w:hideMark/>
          </w:tcPr>
          <w:p w:rsidR="002C04E2" w:rsidRDefault="002C04E2">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5B7FFB" w:rsidRDefault="005B7FFB"/>
    <w:sectPr w:rsidR="005B7FFB" w:rsidSect="002C04E2">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E2"/>
    <w:rsid w:val="002C04E2"/>
    <w:rsid w:val="005B7FFB"/>
    <w:rsid w:val="00B1205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E2"/>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2C04E2"/>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04E2"/>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2C04E2"/>
    <w:rPr>
      <w:strike w:val="0"/>
      <w:dstrike w:val="0"/>
      <w:color w:val="5CA8CD"/>
      <w:u w:val="none"/>
      <w:effect w:val="none"/>
    </w:rPr>
  </w:style>
  <w:style w:type="paragraph" w:styleId="NormalWeb">
    <w:name w:val="Normal (Web)"/>
    <w:basedOn w:val="Normal"/>
    <w:uiPriority w:val="99"/>
    <w:unhideWhenUsed/>
    <w:rsid w:val="002C04E2"/>
    <w:pPr>
      <w:spacing w:before="240" w:after="240" w:line="360" w:lineRule="atLeast"/>
    </w:pPr>
    <w:rPr>
      <w:color w:val="585858"/>
    </w:rPr>
  </w:style>
  <w:style w:type="character" w:styleId="lev">
    <w:name w:val="Strong"/>
    <w:basedOn w:val="Policepardfaut"/>
    <w:uiPriority w:val="22"/>
    <w:qFormat/>
    <w:rsid w:val="002C04E2"/>
    <w:rPr>
      <w:b/>
      <w:bCs/>
    </w:rPr>
  </w:style>
  <w:style w:type="paragraph" w:styleId="Textedebulles">
    <w:name w:val="Balloon Text"/>
    <w:basedOn w:val="Normal"/>
    <w:link w:val="TextedebullesCar"/>
    <w:uiPriority w:val="99"/>
    <w:semiHidden/>
    <w:unhideWhenUsed/>
    <w:rsid w:val="002C04E2"/>
    <w:rPr>
      <w:rFonts w:ascii="Tahoma" w:hAnsi="Tahoma" w:cs="Tahoma"/>
      <w:sz w:val="16"/>
      <w:szCs w:val="16"/>
    </w:rPr>
  </w:style>
  <w:style w:type="character" w:customStyle="1" w:styleId="TextedebullesCar">
    <w:name w:val="Texte de bulles Car"/>
    <w:basedOn w:val="Policepardfaut"/>
    <w:link w:val="Textedebulles"/>
    <w:uiPriority w:val="99"/>
    <w:semiHidden/>
    <w:rsid w:val="002C04E2"/>
    <w:rPr>
      <w:rFonts w:ascii="Tahoma" w:hAnsi="Tahoma" w:cs="Tahoma"/>
      <w:sz w:val="16"/>
      <w:szCs w:val="16"/>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E2"/>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2C04E2"/>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04E2"/>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2C04E2"/>
    <w:rPr>
      <w:strike w:val="0"/>
      <w:dstrike w:val="0"/>
      <w:color w:val="5CA8CD"/>
      <w:u w:val="none"/>
      <w:effect w:val="none"/>
    </w:rPr>
  </w:style>
  <w:style w:type="paragraph" w:styleId="NormalWeb">
    <w:name w:val="Normal (Web)"/>
    <w:basedOn w:val="Normal"/>
    <w:uiPriority w:val="99"/>
    <w:unhideWhenUsed/>
    <w:rsid w:val="002C04E2"/>
    <w:pPr>
      <w:spacing w:before="240" w:after="240" w:line="360" w:lineRule="atLeast"/>
    </w:pPr>
    <w:rPr>
      <w:color w:val="585858"/>
    </w:rPr>
  </w:style>
  <w:style w:type="character" w:styleId="lev">
    <w:name w:val="Strong"/>
    <w:basedOn w:val="Policepardfaut"/>
    <w:uiPriority w:val="22"/>
    <w:qFormat/>
    <w:rsid w:val="002C04E2"/>
    <w:rPr>
      <w:b/>
      <w:bCs/>
    </w:rPr>
  </w:style>
  <w:style w:type="paragraph" w:styleId="Textedebulles">
    <w:name w:val="Balloon Text"/>
    <w:basedOn w:val="Normal"/>
    <w:link w:val="TextedebullesCar"/>
    <w:uiPriority w:val="99"/>
    <w:semiHidden/>
    <w:unhideWhenUsed/>
    <w:rsid w:val="002C04E2"/>
    <w:rPr>
      <w:rFonts w:ascii="Tahoma" w:hAnsi="Tahoma" w:cs="Tahoma"/>
      <w:sz w:val="16"/>
      <w:szCs w:val="16"/>
    </w:rPr>
  </w:style>
  <w:style w:type="character" w:customStyle="1" w:styleId="TextedebullesCar">
    <w:name w:val="Texte de bulles Car"/>
    <w:basedOn w:val="Policepardfaut"/>
    <w:link w:val="Textedebulles"/>
    <w:uiPriority w:val="99"/>
    <w:semiHidden/>
    <w:rsid w:val="002C04E2"/>
    <w:rPr>
      <w:rFonts w:ascii="Tahoma" w:hAnsi="Tahoma" w:cs="Tahoma"/>
      <w:sz w:val="16"/>
      <w:szCs w:val="16"/>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49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fjn.org/mailster/2582/27011533953f319e5e361d56b7addb65/aHR0cDovL2FlZmpuLm9yZy93cC1jb250ZW50L3VwbG9hZHMvMjAxOC8wMi9kb3NzaWVyLWh1aWxlLWRlLXBhbG1lLnBkZg/1" TargetMode="External"/><Relationship Id="rId13" Type="http://schemas.openxmlformats.org/officeDocument/2006/relationships/hyperlink" Target="http://aefjn.org/mailster/2582/27011533953f319e5e361d56b7addb65/aHR0cDovL2FlZmpuLm9yZy9mci9sZS1mcmFuYy1jZmEtcG91ci1sZXMtbnVscy8" TargetMode="External"/><Relationship Id="rId18" Type="http://schemas.openxmlformats.org/officeDocument/2006/relationships/hyperlink" Target="http://aefjn.org/fr/les-principes-directeurs-ne-suffisent-pas/" TargetMode="External"/><Relationship Id="rId26" Type="http://schemas.openxmlformats.org/officeDocument/2006/relationships/hyperlink" Target="http://aefjn.org/mailster/2582/27011533953f319e5e361d56b7addb65/aHR0cHM6Ly93d3cuZmFjZWJvb2suY29tL2p1c3RpY2VwYWl4L3ZpZGVvcy8yMDYxNzE4MzEwNzI5MjE2Lw/1" TargetMode="External"/><Relationship Id="rId3" Type="http://schemas.openxmlformats.org/officeDocument/2006/relationships/settings" Target="settings.xml"/><Relationship Id="rId21" Type="http://schemas.openxmlformats.org/officeDocument/2006/relationships/hyperlink" Target="http://aefjn.org/fr/antenne-de-nairobi-kenya/" TargetMode="External"/><Relationship Id="rId7" Type="http://schemas.openxmlformats.org/officeDocument/2006/relationships/image" Target="media/image2.jpeg"/><Relationship Id="rId12" Type="http://schemas.openxmlformats.org/officeDocument/2006/relationships/hyperlink" Target="http://aefjn.org/fr/plaidoyer-sur-le-commerce-un-long-chemin/" TargetMode="External"/><Relationship Id="rId17" Type="http://schemas.openxmlformats.org/officeDocument/2006/relationships/image" Target="media/image5.jpeg"/><Relationship Id="rId25" Type="http://schemas.openxmlformats.org/officeDocument/2006/relationships/hyperlink" Target="http://aefjn.org/mailster/2582/27011533953f319e5e361d56b7addb65/aHR0cDovL3d3dy5zMmJuZXR3b3JrLm9yZy9zaWduLWRlbW9jcmF0aXNhdGlvbi1sZXR0ZXI/1" TargetMode="External"/><Relationship Id="rId2" Type="http://schemas.microsoft.com/office/2007/relationships/stylesWithEffects" Target="stylesWithEffects.xml"/><Relationship Id="rId16" Type="http://schemas.openxmlformats.org/officeDocument/2006/relationships/hyperlink" Target="http://aefjn.org/mailster/2582/27011533953f319e5e361d56b7addb65/aHR0cDovL2FlZmpuLm9yZy9mci9sZXMtcHJpbmNpcGVzLWRpcmVjdGV1cnMtbmUtc3VmZmlzZW50LXBhcy8" TargetMode="External"/><Relationship Id="rId20" Type="http://schemas.openxmlformats.org/officeDocument/2006/relationships/image" Target="media/image6.jpeg"/><Relationship Id="rId29" Type="http://schemas.openxmlformats.org/officeDocument/2006/relationships/hyperlink" Target="http://aefjn.org/mailster/2582/27011533953f319e5e361d56b7addb65/aHR0cHM6Ly9mYWNlYm9vay5jb20" TargetMode="External"/><Relationship Id="rId1" Type="http://schemas.openxmlformats.org/officeDocument/2006/relationships/styles" Target="styles.xml"/><Relationship Id="rId6" Type="http://schemas.openxmlformats.org/officeDocument/2006/relationships/hyperlink" Target="http://aefjn.org/mailster/2582/27011533953f319e5e361d56b7addb65/aHR0cDovL2FlZmpuLm9yZy9lbi9sZS1jb3V0LWh1bWFpbi1ldC1lbnZpcm9ubmVtZW50YWwtZGUtbG9wdGlvbi1iaW8tZW5lcmdpZS1kZS1sdWUtdW5lLXBlcnNwZWN0aXZlLw" TargetMode="External"/><Relationship Id="rId11" Type="http://schemas.openxmlformats.org/officeDocument/2006/relationships/image" Target="media/image3.jpeg"/><Relationship Id="rId24" Type="http://schemas.openxmlformats.org/officeDocument/2006/relationships/hyperlink" Target="http://aefjn.org/fr/antenne-de-la-republique-centrafricaine/"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aefjn.org/fr/le-franc-cfa-pour-les-nuls/" TargetMode="External"/><Relationship Id="rId23" Type="http://schemas.openxmlformats.org/officeDocument/2006/relationships/image" Target="media/image7.jpeg"/><Relationship Id="rId28" Type="http://schemas.openxmlformats.org/officeDocument/2006/relationships/image" Target="media/image8.png"/><Relationship Id="rId10" Type="http://schemas.openxmlformats.org/officeDocument/2006/relationships/hyperlink" Target="http://aefjn.org/mailster/2582/27011533953f319e5e361d56b7addb65/aHR0cDovL2FlZmpuLm9yZy9mci9wbGFpZG95ZXItc3VyLWxlLWNvbW1lcmNlLXVuLWxvbmctY2hlbWluLw" TargetMode="External"/><Relationship Id="rId19" Type="http://schemas.openxmlformats.org/officeDocument/2006/relationships/hyperlink" Target="http://aefjn.org/mailster/2582/27011533953f319e5e361d56b7addb65/aHR0cDovL2FlZmpuLm9yZy9mci9hbnRlbm5lLWRlLW5haXJvYmkta2VueWEv"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efjn.org/en/le-cout-humain-et-environnemental-de-loption-bio-energie-de-lue-une-perspective/" TargetMode="External"/><Relationship Id="rId14" Type="http://schemas.openxmlformats.org/officeDocument/2006/relationships/image" Target="media/image4.png"/><Relationship Id="rId22" Type="http://schemas.openxmlformats.org/officeDocument/2006/relationships/hyperlink" Target="http://aefjn.org/mailster/2582/27011533953f319e5e361d56b7addb65/aHR0cDovL2FlZmpuLm9yZy9mci9hbnRlbm5lLWRlLWxhLXJlcHVibGlxdWUtY2VudHJhZnJpY2FpbmUv" TargetMode="External"/><Relationship Id="rId27" Type="http://schemas.openxmlformats.org/officeDocument/2006/relationships/hyperlink" Target="http://aefjn.org/mailster/2582/27011533953f319e5e361d56b7addb65/aHR0cHM6Ly90d2l0dGVyLmNvbQ" TargetMode="External"/><Relationship Id="rId30"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654</Words>
  <Characters>3599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2</cp:revision>
  <dcterms:created xsi:type="dcterms:W3CDTF">2018-03-28T16:05:00Z</dcterms:created>
  <dcterms:modified xsi:type="dcterms:W3CDTF">2018-03-28T16:05:00Z</dcterms:modified>
</cp:coreProperties>
</file>