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A5" w:rsidRDefault="00F91CA5" w:rsidP="00F91CA5">
      <w:pPr>
        <w:pStyle w:val="Sansinterligne"/>
        <w:jc w:val="center"/>
        <w:rPr>
          <w:b/>
          <w:sz w:val="32"/>
          <w:szCs w:val="32"/>
          <w:u w:val="single"/>
          <w:lang w:val="nl-BE"/>
        </w:rPr>
      </w:pPr>
      <w:bookmarkStart w:id="0" w:name="_GoBack"/>
      <w:bookmarkEnd w:id="0"/>
      <w:r>
        <w:rPr>
          <w:b/>
          <w:noProof/>
          <w:sz w:val="32"/>
          <w:szCs w:val="32"/>
          <w:u w:val="single"/>
          <w:lang w:val="fr-BE" w:eastAsia="fr-BE"/>
        </w:rPr>
        <w:drawing>
          <wp:anchor distT="0" distB="0" distL="114300" distR="114300" simplePos="0" relativeHeight="251658240" behindDoc="0" locked="0" layoutInCell="1" allowOverlap="1">
            <wp:simplePos x="0" y="0"/>
            <wp:positionH relativeFrom="column">
              <wp:posOffset>46990</wp:posOffset>
            </wp:positionH>
            <wp:positionV relativeFrom="paragraph">
              <wp:posOffset>-169545</wp:posOffset>
            </wp:positionV>
            <wp:extent cx="1904365" cy="547370"/>
            <wp:effectExtent l="0" t="0" r="635" b="5080"/>
            <wp:wrapSquare wrapText="bothSides"/>
            <wp:docPr id="1" name="Image 1" descr="http://aefjn.org/wp-content/uploads/2016/12/header-400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aefjn.org/wp-content/uploads/2016/12/header-400x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b/>
          <w:sz w:val="32"/>
          <w:szCs w:val="32"/>
          <w:u w:val="single"/>
          <w:lang w:val="nl-BE"/>
        </w:rPr>
        <w:t xml:space="preserve">ECHO’S   </w:t>
      </w:r>
      <w:proofErr w:type="gramEnd"/>
      <w:r>
        <w:rPr>
          <w:b/>
          <w:sz w:val="32"/>
          <w:szCs w:val="32"/>
          <w:u w:val="single"/>
          <w:lang w:val="nl-BE"/>
        </w:rPr>
        <w:t xml:space="preserve">Nr. 45   </w:t>
      </w:r>
      <w:proofErr w:type="gramStart"/>
      <w:r>
        <w:rPr>
          <w:b/>
          <w:sz w:val="32"/>
          <w:szCs w:val="32"/>
          <w:u w:val="single"/>
          <w:lang w:val="nl-BE"/>
        </w:rPr>
        <w:t>Maart</w:t>
      </w:r>
      <w:proofErr w:type="gramEnd"/>
      <w:r>
        <w:rPr>
          <w:b/>
          <w:sz w:val="32"/>
          <w:szCs w:val="32"/>
          <w:u w:val="single"/>
          <w:lang w:val="nl-BE"/>
        </w:rPr>
        <w:t xml:space="preserve"> 2018</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p>
    <w:p w:rsidR="00F91CA5" w:rsidRDefault="00F91CA5" w:rsidP="00F91CA5">
      <w:pPr>
        <w:pStyle w:val="Sansinterligne"/>
        <w:rPr>
          <w:b/>
          <w:i/>
          <w:sz w:val="24"/>
          <w:szCs w:val="24"/>
          <w:lang w:val="nl-BE"/>
        </w:rPr>
      </w:pPr>
      <w:r>
        <w:rPr>
          <w:b/>
          <w:i/>
          <w:sz w:val="24"/>
          <w:szCs w:val="24"/>
          <w:lang w:val="nl-BE"/>
        </w:rPr>
        <w:t>ACHTER DE GEWELDDADIGE BEROERINGEN IN DE DEMOCRATISCHE REPUBLIEK CONGO</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Toen het jaar 2017 op zijn einde liep, ontving de wereld de “boodschap” dat de DRC voor een nieuwe fase stond van gewapende conflicten. Het was meer een reportage dan een voorspelling. In korte tijd…</w:t>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blCellSpacing w:w="0" w:type="dxa"/>
        </w:trPr>
        <w:tc>
          <w:tcPr>
            <w:tcW w:w="0" w:type="auto"/>
            <w:hideMark/>
          </w:tcPr>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1040"/>
              <w:gridCol w:w="480"/>
            </w:tblGrid>
            <w:tr w:rsidR="00F91CA5">
              <w:trPr>
                <w:tblCellSpacing w:w="0" w:type="dxa"/>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rsidP="00F91CA5">
                        <w:pPr>
                          <w:spacing w:after="0" w:line="240" w:lineRule="auto"/>
                          <w:jc w:val="center"/>
                          <w:rPr>
                            <w:rFonts w:ascii="Times" w:eastAsia="Times New Roman" w:hAnsi="Times"/>
                            <w:sz w:val="20"/>
                            <w:szCs w:val="20"/>
                            <w:lang w:val="fr-BE" w:eastAsia="fr-FR"/>
                          </w:rPr>
                        </w:pPr>
                        <w:hyperlink r:id="rId6"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w:t>
                          </w:r>
                          <w:r>
                            <w:rPr>
                              <w:rStyle w:val="Lienhypertexte"/>
                              <w:rFonts w:ascii="Times" w:eastAsia="Times New Roman" w:hAnsi="Times"/>
                              <w:sz w:val="20"/>
                              <w:szCs w:val="20"/>
                              <w:lang w:val="fr-BE" w:eastAsia="fr-FR"/>
                            </w:rPr>
                            <w:t>m</w:t>
                          </w:r>
                          <w:r>
                            <w:rPr>
                              <w:rStyle w:val="Lienhypertexte"/>
                              <w:rFonts w:ascii="Times" w:eastAsia="Times New Roman" w:hAnsi="Times"/>
                              <w:sz w:val="20"/>
                              <w:szCs w:val="20"/>
                              <w:lang w:val="fr-BE" w:eastAsia="fr-FR"/>
                            </w:rPr>
                            <w:t>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bl>
          <w:p w:rsidR="00F91CA5" w:rsidRDefault="00F91CA5">
            <w:pPr>
              <w:spacing w:after="0" w:line="240" w:lineRule="auto"/>
              <w:rPr>
                <w:sz w:val="20"/>
                <w:szCs w:val="20"/>
                <w:lang w:val="fr-BE" w:eastAsia="fr-BE"/>
              </w:rPr>
            </w:pPr>
          </w:p>
        </w:tc>
      </w:tr>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bl>
    <w:p w:rsidR="00F91CA5" w:rsidRDefault="00F91CA5" w:rsidP="00F91CA5">
      <w:pPr>
        <w:pStyle w:val="Sansinterligne"/>
        <w:rPr>
          <w:b/>
          <w:i/>
          <w:sz w:val="24"/>
          <w:szCs w:val="24"/>
          <w:lang w:val="nl-BE"/>
        </w:rPr>
      </w:pPr>
      <w:r>
        <w:rPr>
          <w:b/>
          <w:i/>
          <w:sz w:val="24"/>
          <w:szCs w:val="24"/>
          <w:lang w:val="nl-BE"/>
        </w:rPr>
        <w:t xml:space="preserve">AKKOORD VOOR EEN CONTINENTALE </w:t>
      </w:r>
      <w:proofErr w:type="gramStart"/>
      <w:r>
        <w:rPr>
          <w:b/>
          <w:i/>
          <w:sz w:val="24"/>
          <w:szCs w:val="24"/>
          <w:lang w:val="nl-BE"/>
        </w:rPr>
        <w:t>VRIJHANDELSZONE :</w:t>
      </w:r>
      <w:proofErr w:type="gramEnd"/>
      <w:r>
        <w:rPr>
          <w:b/>
          <w:i/>
          <w:sz w:val="24"/>
          <w:szCs w:val="24"/>
          <w:lang w:val="nl-BE"/>
        </w:rPr>
        <w:t xml:space="preserve"> EEN INTERNE STRIJD VOOR DE LIBERALISATIE VAN DE HANDEL</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 xml:space="preserve">In januari 2012 heeft de Afrikaanse Unie besloten een akkoord te sluiten over een continentale </w:t>
      </w:r>
      <w:proofErr w:type="gramStart"/>
      <w:r>
        <w:rPr>
          <w:sz w:val="24"/>
          <w:szCs w:val="24"/>
          <w:lang w:val="nl-BE"/>
        </w:rPr>
        <w:t>vrijhandelszone .</w:t>
      </w:r>
      <w:proofErr w:type="gramEnd"/>
      <w:r>
        <w:rPr>
          <w:sz w:val="24"/>
          <w:szCs w:val="24"/>
          <w:lang w:val="nl-BE"/>
        </w:rPr>
        <w:t xml:space="preserve"> Dit handelsakkoord wil tot één enkele markt komen voor de goederen, de diensten en de vrije beweging van personen en investeringen om de handel te stimuleren…</w:t>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1040"/>
              <w:gridCol w:w="480"/>
            </w:tblGrid>
            <w:tr w:rsidR="00F91CA5">
              <w:trPr>
                <w:tblCellSpacing w:w="0" w:type="dxa"/>
                <w:jc w:val="center"/>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pPr>
                          <w:spacing w:after="0" w:line="240" w:lineRule="auto"/>
                          <w:jc w:val="center"/>
                          <w:rPr>
                            <w:rFonts w:ascii="Times" w:eastAsia="Times New Roman" w:hAnsi="Times"/>
                            <w:sz w:val="20"/>
                            <w:szCs w:val="20"/>
                            <w:lang w:val="fr-BE" w:eastAsia="fr-FR"/>
                          </w:rPr>
                        </w:pPr>
                        <w:hyperlink r:id="rId7"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more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bl>
          <w:p w:rsidR="00F91CA5" w:rsidRDefault="00F91CA5">
            <w:pPr>
              <w:spacing w:after="0" w:line="240" w:lineRule="auto"/>
              <w:jc w:val="center"/>
              <w:rPr>
                <w:sz w:val="20"/>
                <w:szCs w:val="20"/>
                <w:lang w:val="fr-BE" w:eastAsia="fr-BE"/>
              </w:rPr>
            </w:pPr>
          </w:p>
        </w:tc>
      </w:tr>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bl>
    <w:p w:rsidR="00F91CA5" w:rsidRDefault="00F91CA5" w:rsidP="00F91CA5">
      <w:pPr>
        <w:pStyle w:val="Sansinterligne"/>
        <w:rPr>
          <w:b/>
          <w:i/>
          <w:sz w:val="24"/>
          <w:szCs w:val="24"/>
          <w:lang w:val="nl-BE"/>
        </w:rPr>
      </w:pPr>
      <w:r>
        <w:rPr>
          <w:b/>
          <w:i/>
          <w:sz w:val="24"/>
          <w:szCs w:val="24"/>
          <w:lang w:val="nl-BE"/>
        </w:rPr>
        <w:t>EEN INITIATIEF VAN HARMONISERING VAN DE REGELGEVING VOOR GENEESMIDDELEN IN AFRIKA (AMRH)</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Het AMRH werd geïnitieerd in 2009 om de Afrikaanse landen te helpen een efficiënt systeem in gang te brengen voor de registrering van geneesmiddelen, dank zij de regionale harmonisering en het versterken van de mogelijkheden ; en ook om het systeem van regelgeving te verbeteren voor de registrering van producten in Afrika…</w:t>
      </w:r>
      <w:proofErr w:type="gramStart"/>
      <w:r>
        <w:rPr>
          <w:sz w:val="24"/>
          <w:szCs w:val="24"/>
          <w:lang w:val="nl-BE"/>
        </w:rPr>
        <w:tab/>
        <w:t xml:space="preserve">   </w:t>
      </w:r>
      <w:proofErr w:type="gramEnd"/>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blCellSpacing w:w="0" w:type="dxa"/>
        </w:trPr>
        <w:tc>
          <w:tcPr>
            <w:tcW w:w="0" w:type="auto"/>
            <w:hideMark/>
          </w:tcPr>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1040"/>
              <w:gridCol w:w="480"/>
            </w:tblGrid>
            <w:tr w:rsidR="00F91CA5">
              <w:trPr>
                <w:tblCellSpacing w:w="0" w:type="dxa"/>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pPr>
                          <w:spacing w:after="0" w:line="240" w:lineRule="auto"/>
                          <w:jc w:val="center"/>
                          <w:rPr>
                            <w:rFonts w:ascii="Times" w:eastAsia="Times New Roman" w:hAnsi="Times"/>
                            <w:sz w:val="20"/>
                            <w:szCs w:val="20"/>
                            <w:lang w:val="fr-BE" w:eastAsia="fr-FR"/>
                          </w:rPr>
                        </w:pPr>
                        <w:hyperlink r:id="rId8"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more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bl>
          <w:p w:rsidR="00F91CA5" w:rsidRDefault="00F91CA5">
            <w:pPr>
              <w:spacing w:after="0" w:line="240" w:lineRule="auto"/>
              <w:rPr>
                <w:sz w:val="20"/>
                <w:szCs w:val="20"/>
                <w:lang w:val="fr-BE" w:eastAsia="fr-BE"/>
              </w:rPr>
            </w:pPr>
          </w:p>
        </w:tc>
      </w:tr>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bl>
    <w:p w:rsidR="00F91CA5" w:rsidRDefault="00F91CA5" w:rsidP="00F91CA5">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r w:rsidR="00F91CA5" w:rsidTr="00F91CA5">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480"/>
              <w:gridCol w:w="11040"/>
            </w:tblGrid>
            <w:tr w:rsidR="00F91CA5">
              <w:trPr>
                <w:tblCellSpacing w:w="0" w:type="dxa"/>
                <w:jc w:val="center"/>
              </w:trPr>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c>
                <w:tcPr>
                  <w:tcW w:w="11040" w:type="dxa"/>
                  <w:hideMark/>
                </w:tcPr>
                <w:p w:rsidR="00F91CA5" w:rsidRDefault="00F91CA5">
                  <w:pPr>
                    <w:spacing w:after="0" w:line="240" w:lineRule="auto"/>
                    <w:rPr>
                      <w:sz w:val="20"/>
                      <w:szCs w:val="20"/>
                      <w:lang w:val="fr-BE" w:eastAsia="fr-BE"/>
                    </w:rPr>
                  </w:pPr>
                </w:p>
              </w:tc>
            </w:tr>
          </w:tbl>
          <w:p w:rsidR="00F91CA5" w:rsidRDefault="00F91CA5">
            <w:pPr>
              <w:spacing w:after="0" w:line="240" w:lineRule="auto"/>
              <w:jc w:val="center"/>
              <w:rPr>
                <w:sz w:val="20"/>
                <w:szCs w:val="20"/>
                <w:lang w:val="fr-BE" w:eastAsia="fr-BE"/>
              </w:rPr>
            </w:pPr>
          </w:p>
        </w:tc>
      </w:tr>
    </w:tbl>
    <w:p w:rsidR="00F91CA5" w:rsidRDefault="00F91CA5" w:rsidP="00F91CA5">
      <w:pPr>
        <w:pStyle w:val="Sansinterligne"/>
        <w:rPr>
          <w:b/>
          <w:i/>
          <w:sz w:val="24"/>
          <w:szCs w:val="24"/>
          <w:lang w:val="nl-BE"/>
        </w:rPr>
      </w:pPr>
      <w:r>
        <w:rPr>
          <w:b/>
          <w:i/>
          <w:sz w:val="24"/>
          <w:szCs w:val="24"/>
          <w:lang w:val="nl-BE"/>
        </w:rPr>
        <w:t xml:space="preserve">SEMINARIE 2018 VOOR CONTACTPERSONEN VAN </w:t>
      </w:r>
      <w:proofErr w:type="gramStart"/>
      <w:r>
        <w:rPr>
          <w:b/>
          <w:i/>
          <w:sz w:val="24"/>
          <w:szCs w:val="24"/>
          <w:lang w:val="nl-BE"/>
        </w:rPr>
        <w:t>AEFJN :</w:t>
      </w:r>
      <w:proofErr w:type="gramEnd"/>
      <w:r>
        <w:rPr>
          <w:b/>
          <w:i/>
          <w:sz w:val="24"/>
          <w:szCs w:val="24"/>
          <w:lang w:val="nl-BE"/>
        </w:rPr>
        <w:t xml:space="preserve"> EEN ACTIEPLAN ONTWIKKELEN</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De leden van het Afrika Europa Geloof en Rechtvaardigheid Netwerk (AEFJN) hebben hun 2018 seminarie gehouden op 15 maart. AEFJN is een netwerk van 48 religieuze congregaties, mannelijke en vrouwelijke, die een actie voeren voor economische rechtvaardigheid tussen Europa en Afrika, bij de zetel van de Europese Unie…</w:t>
      </w:r>
      <w:r>
        <w:rPr>
          <w:sz w:val="24"/>
          <w:szCs w:val="24"/>
          <w:lang w:val="nl-BE"/>
        </w:rPr>
        <w:tab/>
      </w:r>
      <w:r>
        <w:rPr>
          <w:sz w:val="24"/>
          <w:szCs w:val="24"/>
          <w:lang w:val="nl-BE"/>
        </w:rPr>
        <w:tab/>
      </w:r>
      <w:r>
        <w:rPr>
          <w:sz w:val="24"/>
          <w:szCs w:val="24"/>
          <w:lang w:val="nl-BE"/>
        </w:rPr>
        <w:tab/>
      </w:r>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1040"/>
              <w:gridCol w:w="480"/>
            </w:tblGrid>
            <w:tr w:rsidR="00F91CA5">
              <w:trPr>
                <w:tblCellSpacing w:w="0" w:type="dxa"/>
                <w:jc w:val="center"/>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pPr>
                          <w:spacing w:after="0" w:line="240" w:lineRule="auto"/>
                          <w:jc w:val="center"/>
                          <w:rPr>
                            <w:rFonts w:ascii="Times" w:eastAsia="Times New Roman" w:hAnsi="Times"/>
                            <w:sz w:val="20"/>
                            <w:szCs w:val="20"/>
                            <w:lang w:val="fr-BE" w:eastAsia="fr-FR"/>
                          </w:rPr>
                        </w:pPr>
                        <w:hyperlink r:id="rId9"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more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bl>
          <w:p w:rsidR="00F91CA5" w:rsidRDefault="00F91CA5">
            <w:pPr>
              <w:spacing w:after="0" w:line="240" w:lineRule="auto"/>
              <w:jc w:val="center"/>
              <w:rPr>
                <w:sz w:val="20"/>
                <w:szCs w:val="20"/>
                <w:lang w:val="fr-BE" w:eastAsia="fr-BE"/>
              </w:rPr>
            </w:pPr>
          </w:p>
        </w:tc>
      </w:tr>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bl>
    <w:p w:rsidR="00F91CA5" w:rsidRDefault="00F91CA5" w:rsidP="00F91CA5">
      <w:pPr>
        <w:pStyle w:val="Sansinterligne"/>
        <w:rPr>
          <w:b/>
          <w:i/>
          <w:sz w:val="24"/>
          <w:szCs w:val="24"/>
          <w:lang w:val="nl-BE"/>
        </w:rPr>
      </w:pPr>
      <w:r>
        <w:rPr>
          <w:b/>
          <w:i/>
          <w:sz w:val="24"/>
          <w:szCs w:val="24"/>
          <w:lang w:val="nl-BE"/>
        </w:rPr>
        <w:t>DE ANTENNE VAN DE CENTRAAL AFRIKAANSE REPUBLIEK</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 xml:space="preserve">De contactpersoon van de nieuwe AEFJN antenne in de Centraal Afrikaanse </w:t>
      </w:r>
      <w:proofErr w:type="gramStart"/>
      <w:r>
        <w:rPr>
          <w:sz w:val="24"/>
          <w:szCs w:val="24"/>
          <w:lang w:val="nl-BE"/>
        </w:rPr>
        <w:t xml:space="preserve">Republiek,  </w:t>
      </w:r>
      <w:proofErr w:type="gramEnd"/>
      <w:r>
        <w:rPr>
          <w:sz w:val="24"/>
          <w:szCs w:val="24"/>
          <w:lang w:val="nl-BE"/>
        </w:rPr>
        <w:t xml:space="preserve">Zr. </w:t>
      </w:r>
      <w:proofErr w:type="spellStart"/>
      <w:r>
        <w:rPr>
          <w:sz w:val="24"/>
          <w:szCs w:val="24"/>
          <w:lang w:val="nl-BE"/>
        </w:rPr>
        <w:t>Elianna</w:t>
      </w:r>
      <w:proofErr w:type="spellEnd"/>
      <w:r>
        <w:rPr>
          <w:sz w:val="24"/>
          <w:szCs w:val="24"/>
          <w:lang w:val="nl-BE"/>
        </w:rPr>
        <w:t xml:space="preserve">, heeft een tussenkomst </w:t>
      </w:r>
      <w:proofErr w:type="gramStart"/>
      <w:r>
        <w:rPr>
          <w:sz w:val="24"/>
          <w:szCs w:val="24"/>
          <w:lang w:val="nl-BE"/>
        </w:rPr>
        <w:t>kunne</w:t>
      </w:r>
      <w:proofErr w:type="gramEnd"/>
      <w:r>
        <w:rPr>
          <w:sz w:val="24"/>
          <w:szCs w:val="24"/>
          <w:lang w:val="nl-BE"/>
        </w:rPr>
        <w:t xml:space="preserve"> houden bij de Algemene Oversten van de RCA, die bijeen waren in een Algemene Vergadering. Ze heeft daar getracht een andere wending te geven aan hun opvatting van het religieuze leven…</w:t>
      </w:r>
      <w:r>
        <w:rPr>
          <w:sz w:val="24"/>
          <w:szCs w:val="24"/>
          <w:lang w:val="nl-BE"/>
        </w:rPr>
        <w:tab/>
      </w:r>
      <w:r>
        <w:rPr>
          <w:sz w:val="24"/>
          <w:szCs w:val="24"/>
          <w:lang w:val="nl-BE"/>
        </w:rPr>
        <w:tab/>
      </w:r>
      <w:r>
        <w:rPr>
          <w:sz w:val="24"/>
          <w:szCs w:val="24"/>
          <w:lang w:val="nl-BE"/>
        </w:rPr>
        <w:tab/>
      </w:r>
      <w:r>
        <w:rPr>
          <w:sz w:val="24"/>
          <w:szCs w:val="24"/>
          <w:lang w:val="nl-BE"/>
        </w:rPr>
        <w:tab/>
      </w:r>
    </w:p>
    <w:tbl>
      <w:tblPr>
        <w:tblW w:w="12000" w:type="dxa"/>
        <w:tblCellSpacing w:w="0" w:type="dxa"/>
        <w:tblCellMar>
          <w:left w:w="0" w:type="dxa"/>
          <w:right w:w="0" w:type="dxa"/>
        </w:tblCellMar>
        <w:tblLook w:val="04A0" w:firstRow="1" w:lastRow="0" w:firstColumn="1" w:lastColumn="0" w:noHBand="0" w:noVBand="1"/>
      </w:tblPr>
      <w:tblGrid>
        <w:gridCol w:w="12000"/>
      </w:tblGrid>
      <w:tr w:rsidR="00F91CA5" w:rsidTr="00F91CA5">
        <w:trPr>
          <w:tblCellSpacing w:w="0" w:type="dxa"/>
        </w:trPr>
        <w:tc>
          <w:tcPr>
            <w:tcW w:w="0" w:type="auto"/>
            <w:hideMark/>
          </w:tcPr>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1040"/>
              <w:gridCol w:w="480"/>
            </w:tblGrid>
            <w:tr w:rsidR="00F91CA5">
              <w:trPr>
                <w:tblCellSpacing w:w="0" w:type="dxa"/>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pPr>
                          <w:spacing w:after="0" w:line="240" w:lineRule="auto"/>
                          <w:jc w:val="center"/>
                          <w:rPr>
                            <w:rFonts w:ascii="Times" w:eastAsia="Times New Roman" w:hAnsi="Times"/>
                            <w:sz w:val="20"/>
                            <w:szCs w:val="20"/>
                            <w:lang w:val="fr-BE" w:eastAsia="fr-FR"/>
                          </w:rPr>
                        </w:pPr>
                        <w:hyperlink r:id="rId10"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more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bl>
          <w:p w:rsidR="00F91CA5" w:rsidRDefault="00F91CA5">
            <w:pPr>
              <w:spacing w:after="0" w:line="240" w:lineRule="auto"/>
              <w:rPr>
                <w:sz w:val="20"/>
                <w:szCs w:val="20"/>
                <w:lang w:val="fr-BE" w:eastAsia="fr-BE"/>
              </w:rPr>
            </w:pPr>
          </w:p>
        </w:tc>
      </w:tr>
      <w:tr w:rsidR="00F91CA5" w:rsidTr="00F91CA5">
        <w:trPr>
          <w:trHeight w:val="240"/>
          <w:tblCellSpacing w:w="0" w:type="dxa"/>
        </w:trPr>
        <w:tc>
          <w:tcPr>
            <w:tcW w:w="0" w:type="auto"/>
            <w:vAlign w:val="center"/>
            <w:hideMark/>
          </w:tcPr>
          <w:p w:rsidR="00F91CA5" w:rsidRDefault="00F91CA5">
            <w:pPr>
              <w:spacing w:after="0" w:line="240" w:lineRule="auto"/>
              <w:rPr>
                <w:sz w:val="20"/>
                <w:szCs w:val="20"/>
                <w:lang w:val="fr-BE" w:eastAsia="fr-BE"/>
              </w:rPr>
            </w:pPr>
          </w:p>
        </w:tc>
      </w:tr>
    </w:tbl>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p>
    <w:p w:rsidR="00F91CA5" w:rsidRDefault="00F91CA5" w:rsidP="00F91CA5">
      <w:pPr>
        <w:pStyle w:val="Sansinterligne"/>
        <w:rPr>
          <w:b/>
          <w:i/>
          <w:sz w:val="24"/>
          <w:szCs w:val="24"/>
          <w:lang w:val="nl-BE"/>
        </w:rPr>
      </w:pPr>
      <w:r>
        <w:rPr>
          <w:b/>
          <w:i/>
          <w:sz w:val="24"/>
          <w:szCs w:val="24"/>
          <w:lang w:val="nl-BE"/>
        </w:rPr>
        <w:lastRenderedPageBreak/>
        <w:t xml:space="preserve">DE ANTENNE VAN </w:t>
      </w:r>
      <w:proofErr w:type="gramStart"/>
      <w:r>
        <w:rPr>
          <w:b/>
          <w:i/>
          <w:sz w:val="24"/>
          <w:szCs w:val="24"/>
          <w:lang w:val="nl-BE"/>
        </w:rPr>
        <w:t>KAMEROEN :</w:t>
      </w:r>
      <w:proofErr w:type="gramEnd"/>
      <w:r>
        <w:rPr>
          <w:b/>
          <w:i/>
          <w:sz w:val="24"/>
          <w:szCs w:val="24"/>
          <w:lang w:val="nl-BE"/>
        </w:rPr>
        <w:t xml:space="preserve"> </w:t>
      </w:r>
    </w:p>
    <w:p w:rsidR="00F91CA5" w:rsidRDefault="00F91CA5" w:rsidP="00F91CA5">
      <w:pPr>
        <w:pStyle w:val="Sansinterligne"/>
        <w:rPr>
          <w:b/>
          <w:i/>
          <w:sz w:val="24"/>
          <w:szCs w:val="24"/>
          <w:lang w:val="nl-BE"/>
        </w:rPr>
      </w:pPr>
      <w:r>
        <w:rPr>
          <w:b/>
          <w:i/>
          <w:sz w:val="24"/>
          <w:szCs w:val="24"/>
          <w:lang w:val="nl-BE"/>
        </w:rPr>
        <w:t>CONFERENTIE OVER HET BEHEER VAN HET DRUGSFENOMEEN IN DE SCHOLEN</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 xml:space="preserve">In januari 2018 heeft er in de Katholieke Universiteit van Centraal Afrika (campus </w:t>
      </w:r>
      <w:proofErr w:type="spellStart"/>
      <w:r>
        <w:rPr>
          <w:sz w:val="24"/>
          <w:szCs w:val="24"/>
          <w:lang w:val="nl-BE"/>
        </w:rPr>
        <w:t>Ekounou</w:t>
      </w:r>
      <w:proofErr w:type="spellEnd"/>
      <w:r>
        <w:rPr>
          <w:sz w:val="24"/>
          <w:szCs w:val="24"/>
          <w:lang w:val="nl-BE"/>
        </w:rPr>
        <w:t xml:space="preserve">)  een conferentie plaats gehad met als </w:t>
      </w:r>
      <w:proofErr w:type="gramStart"/>
      <w:r>
        <w:rPr>
          <w:sz w:val="24"/>
          <w:szCs w:val="24"/>
          <w:lang w:val="nl-BE"/>
        </w:rPr>
        <w:t>thema :</w:t>
      </w:r>
      <w:proofErr w:type="gramEnd"/>
      <w:r>
        <w:rPr>
          <w:sz w:val="24"/>
          <w:szCs w:val="24"/>
          <w:lang w:val="nl-BE"/>
        </w:rPr>
        <w:t xml:space="preserve"> “Beheer van het fenomeen van drugsgebruik in de scholen van Kameroen”. De conferentie, georganiseerd door een platform van gouvernementele en niet-gouvernementele organisaties samengebracht door Geloof en Rechtvaardigheid, had tot doel tot een publiek debat te komen…</w:t>
      </w:r>
      <w:r>
        <w:rPr>
          <w:sz w:val="24"/>
          <w:szCs w:val="24"/>
          <w:lang w:val="nl-BE"/>
        </w:rPr>
        <w:tab/>
      </w:r>
      <w:r>
        <w:rPr>
          <w:sz w:val="24"/>
          <w:szCs w:val="24"/>
          <w:lang w:val="nl-BE"/>
        </w:rPr>
        <w:tab/>
      </w:r>
    </w:p>
    <w:tbl>
      <w:tblPr>
        <w:tblW w:w="12000" w:type="dxa"/>
        <w:tblCellSpacing w:w="0" w:type="dxa"/>
        <w:tblCellMar>
          <w:left w:w="0" w:type="dxa"/>
          <w:right w:w="0" w:type="dxa"/>
        </w:tblCellMar>
        <w:tblLook w:val="04A0" w:firstRow="1" w:lastRow="0" w:firstColumn="1" w:lastColumn="0" w:noHBand="0" w:noVBand="1"/>
      </w:tblPr>
      <w:tblGrid>
        <w:gridCol w:w="11500"/>
        <w:gridCol w:w="500"/>
      </w:tblGrid>
      <w:tr w:rsidR="00F91CA5" w:rsidTr="00F91CA5">
        <w:trPr>
          <w:tblCellSpacing w:w="0" w:type="dxa"/>
        </w:trPr>
        <w:tc>
          <w:tcPr>
            <w:tcW w:w="11040" w:type="dxa"/>
            <w:hideMark/>
          </w:tcPr>
          <w:tbl>
            <w:tblPr>
              <w:tblpPr w:leftFromText="60" w:rightFromText="60" w:vertAnchor="text"/>
              <w:tblW w:w="0" w:type="auto"/>
              <w:tblCellSpacing w:w="15" w:type="dxa"/>
              <w:tblLook w:val="04A0" w:firstRow="1" w:lastRow="0" w:firstColumn="1" w:lastColumn="0" w:noHBand="0" w:noVBand="1"/>
            </w:tblPr>
            <w:tblGrid>
              <w:gridCol w:w="896"/>
            </w:tblGrid>
            <w:tr w:rsidR="00F91CA5">
              <w:trPr>
                <w:tblCellSpacing w:w="15" w:type="dxa"/>
              </w:trPr>
              <w:tc>
                <w:tcPr>
                  <w:tcW w:w="0" w:type="auto"/>
                  <w:tcMar>
                    <w:top w:w="15" w:type="dxa"/>
                    <w:left w:w="15" w:type="dxa"/>
                    <w:bottom w:w="15" w:type="dxa"/>
                    <w:right w:w="15" w:type="dxa"/>
                  </w:tcMar>
                  <w:vAlign w:val="center"/>
                  <w:hideMark/>
                </w:tcPr>
                <w:p w:rsidR="00F91CA5" w:rsidRDefault="00F91CA5">
                  <w:pPr>
                    <w:spacing w:after="0" w:line="240" w:lineRule="auto"/>
                    <w:jc w:val="center"/>
                    <w:rPr>
                      <w:rFonts w:ascii="Times" w:eastAsia="Times New Roman" w:hAnsi="Times"/>
                      <w:sz w:val="20"/>
                      <w:szCs w:val="20"/>
                      <w:lang w:val="fr-BE" w:eastAsia="fr-FR"/>
                    </w:rPr>
                  </w:pPr>
                  <w:hyperlink r:id="rId11" w:history="1">
                    <w:proofErr w:type="spellStart"/>
                    <w:r>
                      <w:rPr>
                        <w:rStyle w:val="Lienhypertexte"/>
                        <w:rFonts w:ascii="Times" w:eastAsia="Times New Roman" w:hAnsi="Times"/>
                        <w:sz w:val="20"/>
                        <w:szCs w:val="20"/>
                        <w:lang w:val="fr-BE" w:eastAsia="fr-FR"/>
                      </w:rPr>
                      <w:t>read</w:t>
                    </w:r>
                    <w:proofErr w:type="spellEnd"/>
                    <w:r>
                      <w:rPr>
                        <w:rStyle w:val="Lienhypertexte"/>
                        <w:rFonts w:ascii="Times" w:eastAsia="Times New Roman" w:hAnsi="Times"/>
                        <w:sz w:val="20"/>
                        <w:szCs w:val="20"/>
                        <w:lang w:val="fr-BE" w:eastAsia="fr-FR"/>
                      </w:rPr>
                      <w:t xml:space="preserve"> more</w:t>
                    </w:r>
                  </w:hyperlink>
                </w:p>
              </w:tc>
            </w:tr>
          </w:tbl>
          <w:p w:rsidR="00F91CA5" w:rsidRDefault="00F91CA5">
            <w:pPr>
              <w:spacing w:after="0" w:line="240" w:lineRule="auto"/>
              <w:rPr>
                <w:sz w:val="20"/>
                <w:szCs w:val="20"/>
                <w:lang w:val="fr-BE" w:eastAsia="fr-BE"/>
              </w:rPr>
            </w:pPr>
          </w:p>
        </w:tc>
        <w:tc>
          <w:tcPr>
            <w:tcW w:w="480" w:type="dxa"/>
            <w:vAlign w:val="center"/>
            <w:hideMark/>
          </w:tcPr>
          <w:p w:rsidR="00F91CA5" w:rsidRDefault="00F91CA5">
            <w:pPr>
              <w:spacing w:after="0" w:line="240" w:lineRule="auto"/>
              <w:rPr>
                <w:rFonts w:ascii="Times" w:eastAsia="Times New Roman" w:hAnsi="Times"/>
                <w:sz w:val="20"/>
                <w:szCs w:val="20"/>
                <w:lang w:val="fr-BE" w:eastAsia="fr-FR"/>
              </w:rPr>
            </w:pPr>
            <w:r>
              <w:rPr>
                <w:rFonts w:ascii="Times" w:eastAsia="Times New Roman" w:hAnsi="Times"/>
                <w:sz w:val="20"/>
                <w:szCs w:val="20"/>
                <w:lang w:val="fr-BE" w:eastAsia="fr-FR"/>
              </w:rPr>
              <w:t> </w:t>
            </w:r>
          </w:p>
        </w:tc>
      </w:tr>
      <w:tr w:rsidR="00F91CA5" w:rsidTr="00F91CA5">
        <w:trPr>
          <w:trHeight w:val="240"/>
          <w:tblCellSpacing w:w="0" w:type="dxa"/>
        </w:trPr>
        <w:tc>
          <w:tcPr>
            <w:tcW w:w="0" w:type="auto"/>
            <w:gridSpan w:val="2"/>
            <w:vAlign w:val="center"/>
            <w:hideMark/>
          </w:tcPr>
          <w:p w:rsidR="00F91CA5" w:rsidRDefault="00F91CA5">
            <w:pPr>
              <w:spacing w:after="0" w:line="240" w:lineRule="auto"/>
              <w:rPr>
                <w:sz w:val="20"/>
                <w:szCs w:val="20"/>
                <w:lang w:val="fr-BE" w:eastAsia="fr-BE"/>
              </w:rPr>
            </w:pPr>
          </w:p>
        </w:tc>
      </w:tr>
    </w:tbl>
    <w:p w:rsidR="00F91CA5" w:rsidRDefault="00F91CA5" w:rsidP="00F91CA5">
      <w:pPr>
        <w:pStyle w:val="Sansinterligne"/>
        <w:rPr>
          <w:b/>
          <w:i/>
          <w:sz w:val="24"/>
          <w:szCs w:val="24"/>
          <w:lang w:val="nl-BE"/>
        </w:rPr>
      </w:pPr>
      <w:r>
        <w:rPr>
          <w:b/>
          <w:i/>
          <w:sz w:val="24"/>
          <w:szCs w:val="24"/>
          <w:lang w:val="nl-BE"/>
        </w:rPr>
        <w:t>VIDEO’S</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b/>
          <w:sz w:val="24"/>
          <w:szCs w:val="24"/>
          <w:lang w:val="nl-BE"/>
        </w:rPr>
        <w:t>Hoe maken kinderen de dingen rechtvaardig?</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r>
        <w:rPr>
          <w:sz w:val="24"/>
          <w:szCs w:val="24"/>
          <w:lang w:val="nl-BE"/>
        </w:rPr>
        <w:t>Hoe gaan kinderen de strijd aan met ongelijkheid? Wat kunnen zij ons leren over rechtvaardigheid? Wilt u een verschil maken?</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hyperlink r:id="rId12" w:history="1">
        <w:r>
          <w:rPr>
            <w:rStyle w:val="Lienhypertexte"/>
            <w:rFonts w:eastAsia="Times New Roman"/>
            <w:b/>
            <w:bCs/>
          </w:rPr>
          <w:t>https://www.oxfam.org/en/multimedia/video/2018-how-kids-make-things-fair</w:t>
        </w:r>
      </w:hyperlink>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p>
    <w:p w:rsidR="00F91CA5" w:rsidRDefault="00F91CA5" w:rsidP="00F91CA5">
      <w:pPr>
        <w:pStyle w:val="Sansinterligne"/>
        <w:rPr>
          <w:b/>
          <w:sz w:val="24"/>
          <w:szCs w:val="24"/>
          <w:lang w:val="nl-BE"/>
        </w:rPr>
      </w:pPr>
      <w:r>
        <w:rPr>
          <w:b/>
          <w:sz w:val="24"/>
          <w:szCs w:val="24"/>
          <w:lang w:val="nl-BE"/>
        </w:rPr>
        <w:t>Een fiscaal regime dat billijk is en efficiënt voor allen</w:t>
      </w:r>
    </w:p>
    <w:p w:rsidR="00F91CA5" w:rsidRDefault="00F91CA5" w:rsidP="00F91CA5">
      <w:pPr>
        <w:pStyle w:val="Sansinterligne"/>
        <w:rPr>
          <w:b/>
          <w:sz w:val="24"/>
          <w:szCs w:val="24"/>
          <w:lang w:val="nl-BE"/>
        </w:rPr>
      </w:pPr>
    </w:p>
    <w:p w:rsidR="00F91CA5" w:rsidRDefault="00F91CA5" w:rsidP="00F91CA5">
      <w:pPr>
        <w:pStyle w:val="Sansinterligne"/>
        <w:rPr>
          <w:sz w:val="24"/>
          <w:szCs w:val="24"/>
          <w:lang w:val="nl-BE"/>
        </w:rPr>
      </w:pPr>
      <w:r>
        <w:rPr>
          <w:sz w:val="24"/>
          <w:szCs w:val="24"/>
          <w:lang w:val="nl-BE"/>
        </w:rPr>
        <w:t xml:space="preserve">Welk verschil is er tussen u en Amazon? Kijk maar naar de taksen die u </w:t>
      </w:r>
      <w:proofErr w:type="gramStart"/>
      <w:r>
        <w:rPr>
          <w:sz w:val="24"/>
          <w:szCs w:val="24"/>
          <w:lang w:val="nl-BE"/>
        </w:rPr>
        <w:t>betaalt .</w:t>
      </w:r>
      <w:proofErr w:type="gramEnd"/>
      <w:r>
        <w:rPr>
          <w:sz w:val="24"/>
          <w:szCs w:val="24"/>
          <w:lang w:val="nl-BE"/>
        </w:rPr>
        <w:t xml:space="preserve"> De fiscale bijdragen van de werknemers is veel hoger dan die van de ondernemingen.</w:t>
      </w:r>
    </w:p>
    <w:p w:rsidR="00F91CA5" w:rsidRDefault="00F91CA5" w:rsidP="00F91CA5">
      <w:pPr>
        <w:pStyle w:val="Sansinterligne"/>
        <w:rPr>
          <w:sz w:val="24"/>
          <w:szCs w:val="24"/>
          <w:lang w:val="nl-BE"/>
        </w:rPr>
      </w:pPr>
    </w:p>
    <w:p w:rsidR="00F91CA5" w:rsidRDefault="00F91CA5" w:rsidP="00F91CA5">
      <w:pPr>
        <w:pStyle w:val="Sansinterligne"/>
        <w:rPr>
          <w:sz w:val="24"/>
          <w:szCs w:val="24"/>
          <w:lang w:val="nl-BE"/>
        </w:rPr>
      </w:pPr>
      <w:hyperlink r:id="rId13" w:history="1">
        <w:r>
          <w:rPr>
            <w:rStyle w:val="lev"/>
            <w:rFonts w:eastAsia="Times New Roman"/>
            <w:color w:val="0000FF"/>
          </w:rPr>
          <w:t>https://www.youtube.com/watch?v=3AXTQIcuZ0I</w:t>
        </w:r>
      </w:hyperlink>
    </w:p>
    <w:p w:rsidR="0050759E" w:rsidRPr="00F91CA5" w:rsidRDefault="0050759E">
      <w:pPr>
        <w:rPr>
          <w:lang w:val="nl-BE"/>
        </w:rPr>
      </w:pPr>
    </w:p>
    <w:sectPr w:rsidR="0050759E" w:rsidRPr="00F91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A5"/>
    <w:rsid w:val="0050759E"/>
    <w:rsid w:val="00854C45"/>
    <w:rsid w:val="00F91C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A5"/>
    <w:rPr>
      <w:rFonts w:ascii="Calibri" w:eastAsia="Calibri" w:hAnsi="Calibri" w:cs="Times New Roman"/>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91CA5"/>
    <w:rPr>
      <w:color w:val="0000FF"/>
      <w:u w:val="single"/>
    </w:rPr>
  </w:style>
  <w:style w:type="paragraph" w:styleId="Sansinterligne">
    <w:name w:val="No Spacing"/>
    <w:uiPriority w:val="1"/>
    <w:qFormat/>
    <w:rsid w:val="00F91CA5"/>
    <w:pPr>
      <w:spacing w:after="0" w:line="240" w:lineRule="auto"/>
    </w:pPr>
    <w:rPr>
      <w:rFonts w:ascii="Calibri" w:eastAsia="Calibri" w:hAnsi="Calibri" w:cs="Times New Roman"/>
      <w:lang w:val="nl-NL"/>
    </w:rPr>
  </w:style>
  <w:style w:type="character" w:styleId="lev">
    <w:name w:val="Strong"/>
    <w:basedOn w:val="Policepardfaut"/>
    <w:uiPriority w:val="22"/>
    <w:qFormat/>
    <w:rsid w:val="00F91CA5"/>
    <w:rPr>
      <w:b/>
      <w:bCs/>
    </w:rPr>
  </w:style>
  <w:style w:type="character" w:styleId="Lienhypertextesuivivisit">
    <w:name w:val="FollowedHyperlink"/>
    <w:basedOn w:val="Policepardfaut"/>
    <w:uiPriority w:val="99"/>
    <w:semiHidden/>
    <w:unhideWhenUsed/>
    <w:rsid w:val="00F91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A5"/>
    <w:rPr>
      <w:rFonts w:ascii="Calibri" w:eastAsia="Calibri" w:hAnsi="Calibri" w:cs="Times New Roman"/>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91CA5"/>
    <w:rPr>
      <w:color w:val="0000FF"/>
      <w:u w:val="single"/>
    </w:rPr>
  </w:style>
  <w:style w:type="paragraph" w:styleId="Sansinterligne">
    <w:name w:val="No Spacing"/>
    <w:uiPriority w:val="1"/>
    <w:qFormat/>
    <w:rsid w:val="00F91CA5"/>
    <w:pPr>
      <w:spacing w:after="0" w:line="240" w:lineRule="auto"/>
    </w:pPr>
    <w:rPr>
      <w:rFonts w:ascii="Calibri" w:eastAsia="Calibri" w:hAnsi="Calibri" w:cs="Times New Roman"/>
      <w:lang w:val="nl-NL"/>
    </w:rPr>
  </w:style>
  <w:style w:type="character" w:styleId="lev">
    <w:name w:val="Strong"/>
    <w:basedOn w:val="Policepardfaut"/>
    <w:uiPriority w:val="22"/>
    <w:qFormat/>
    <w:rsid w:val="00F91CA5"/>
    <w:rPr>
      <w:b/>
      <w:bCs/>
    </w:rPr>
  </w:style>
  <w:style w:type="character" w:styleId="Lienhypertextesuivivisit">
    <w:name w:val="FollowedHyperlink"/>
    <w:basedOn w:val="Policepardfaut"/>
    <w:uiPriority w:val="99"/>
    <w:semiHidden/>
    <w:unhideWhenUsed/>
    <w:rsid w:val="00F91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jn.org/en/harmonization-initiative-for-medicine-regulation-in-africa-amrh/" TargetMode="External"/><Relationship Id="rId13" Type="http://schemas.openxmlformats.org/officeDocument/2006/relationships/hyperlink" Target="https://www.youtube.com/watch?v=3AXTQIcuZ0I" TargetMode="External"/><Relationship Id="rId3" Type="http://schemas.openxmlformats.org/officeDocument/2006/relationships/settings" Target="settings.xml"/><Relationship Id="rId7" Type="http://schemas.openxmlformats.org/officeDocument/2006/relationships/hyperlink" Target="http://aefjn.org/en/continental-free-trade-area-agreement-an-internal-battle-for-trade-liberalization/" TargetMode="External"/><Relationship Id="rId12" Type="http://schemas.openxmlformats.org/officeDocument/2006/relationships/hyperlink" Target="https://www.oxfam.org/en/multimedia/video/2018-how-kids-make-things-fa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efjn.org/fr/derriere-les-bouleversements-violents-dans-la-republique-democratique-du-congo/" TargetMode="External"/><Relationship Id="rId11" Type="http://schemas.openxmlformats.org/officeDocument/2006/relationships/hyperlink" Target="http://aefjn.org/en/the-antenna-of-cameroon-conference-on-the-management-of-the-drug-phenomenon-in-school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efjn.org/en/the-antenna-of-the-central-african-republic/" TargetMode="External"/><Relationship Id="rId4" Type="http://schemas.openxmlformats.org/officeDocument/2006/relationships/webSettings" Target="webSettings.xml"/><Relationship Id="rId9" Type="http://schemas.openxmlformats.org/officeDocument/2006/relationships/hyperlink" Target="http://aefjn.org/en/contact-persons-seminar-2018-developing-a-four-year-plan-of-ac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2018-04-02T09:29:00Z</dcterms:created>
  <dcterms:modified xsi:type="dcterms:W3CDTF">2018-04-02T09:41:00Z</dcterms:modified>
</cp:coreProperties>
</file>